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hint="eastAsia" w:ascii="Arial" w:hAnsi="Arial" w:cs="Arial"/>
          <w:b/>
          <w:sz w:val="24"/>
          <w:szCs w:val="24"/>
        </w:rPr>
      </w:pPr>
      <w:bookmarkStart w:id="0" w:name="OLE_LINK6"/>
      <w:r>
        <w:rPr>
          <w:rFonts w:ascii="Arial" w:hAnsi="Arial" w:cs="Arial"/>
          <w:b/>
          <w:sz w:val="24"/>
          <w:szCs w:val="24"/>
        </w:rPr>
        <w:t>3GPP TSG-RAN WG4 Mee</w:t>
      </w:r>
      <w:r>
        <w:rPr>
          <w:rFonts w:hint="eastAsia" w:ascii="Arial" w:hAnsi="Arial" w:cs="Arial"/>
          <w:b/>
          <w:sz w:val="24"/>
          <w:szCs w:val="24"/>
        </w:rPr>
        <w:t>ting#9</w:t>
      </w:r>
      <w:r>
        <w:rPr>
          <w:rFonts w:hint="eastAsia" w:ascii="Arial" w:hAnsi="Arial" w:cs="Arial"/>
          <w:b/>
          <w:sz w:val="24"/>
          <w:szCs w:val="24"/>
          <w:lang w:val="en-US" w:eastAsia="zh-CN"/>
        </w:rPr>
        <w:t>6</w:t>
      </w:r>
      <w:r>
        <w:rPr>
          <w:rFonts w:hint="eastAsia" w:ascii="Arial" w:hAnsi="Arial" w:cs="Arial"/>
          <w:b/>
          <w:sz w:val="24"/>
          <w:szCs w:val="24"/>
        </w:rPr>
        <w:t>-e                                R4-2010952</w:t>
      </w:r>
      <w:bookmarkStart w:id="13" w:name="_GoBack"/>
      <w:bookmarkEnd w:id="13"/>
      <w:r>
        <w:rPr>
          <w:rFonts w:hint="eastAsia" w:ascii="Arial" w:hAnsi="Arial" w:cs="Arial"/>
          <w:b/>
          <w:sz w:val="24"/>
          <w:szCs w:val="24"/>
        </w:rPr>
        <w:t xml:space="preserve">                         </w:t>
      </w:r>
    </w:p>
    <w:p>
      <w:pPr>
        <w:rPr>
          <w:rFonts w:hint="eastAsia" w:ascii="Arial" w:hAnsi="Arial" w:eastAsia="宋体" w:cs="Arial"/>
          <w:b/>
          <w:sz w:val="24"/>
          <w:szCs w:val="24"/>
          <w:highlight w:val="yellow"/>
          <w:lang w:val="en-US" w:eastAsia="zh-CN"/>
        </w:rPr>
      </w:pPr>
      <w:r>
        <w:rPr>
          <w:rFonts w:hint="eastAsia" w:ascii="Arial" w:hAnsi="Arial" w:cs="Arial"/>
          <w:b/>
          <w:sz w:val="24"/>
          <w:szCs w:val="24"/>
          <w:lang w:val="en-US" w:eastAsia="zh-CN"/>
        </w:rPr>
        <w:t>E-meeting,17</w:t>
      </w:r>
      <w:r>
        <w:rPr>
          <w:rFonts w:hint="eastAsia" w:ascii="Arial" w:hAnsi="Arial" w:cs="Arial"/>
          <w:b/>
          <w:sz w:val="24"/>
          <w:szCs w:val="24"/>
          <w:vertAlign w:val="superscript"/>
          <w:lang w:val="en-US" w:eastAsia="zh-CN"/>
        </w:rPr>
        <w:t>th</w:t>
      </w:r>
      <w:r>
        <w:rPr>
          <w:rFonts w:hint="eastAsia" w:ascii="Arial" w:hAnsi="Arial" w:cs="Arial"/>
          <w:b/>
          <w:sz w:val="24"/>
          <w:szCs w:val="24"/>
          <w:lang w:val="en-US" w:eastAsia="zh-CN"/>
        </w:rPr>
        <w:t xml:space="preserve"> Aug</w:t>
      </w:r>
      <w:r>
        <w:rPr>
          <w:rFonts w:ascii="Arial" w:hAnsi="Arial" w:cs="Arial"/>
          <w:b/>
          <w:sz w:val="24"/>
          <w:szCs w:val="24"/>
        </w:rPr>
        <w:t xml:space="preserve"> –</w:t>
      </w:r>
      <w:r>
        <w:rPr>
          <w:rFonts w:hint="eastAsia" w:ascii="Arial" w:hAnsi="Arial" w:cs="Arial"/>
          <w:b/>
          <w:sz w:val="24"/>
          <w:szCs w:val="24"/>
        </w:rPr>
        <w:t xml:space="preserve"> </w:t>
      </w:r>
      <w:r>
        <w:rPr>
          <w:rFonts w:hint="eastAsia" w:ascii="Arial" w:hAnsi="Arial" w:cs="Arial"/>
          <w:b/>
          <w:sz w:val="24"/>
          <w:szCs w:val="24"/>
          <w:lang w:val="en-US" w:eastAsia="zh-CN"/>
        </w:rPr>
        <w:t>28</w:t>
      </w:r>
      <w:r>
        <w:rPr>
          <w:rFonts w:hint="eastAsia" w:ascii="Arial" w:hAnsi="Arial" w:cs="Arial"/>
          <w:b/>
          <w:sz w:val="24"/>
          <w:szCs w:val="24"/>
          <w:vertAlign w:val="superscript"/>
          <w:lang w:val="en-US" w:eastAsia="zh-CN"/>
        </w:rPr>
        <w:t>th</w:t>
      </w:r>
      <w:r>
        <w:rPr>
          <w:rFonts w:ascii="Arial" w:hAnsi="Arial" w:cs="Arial"/>
          <w:b/>
          <w:sz w:val="24"/>
          <w:szCs w:val="24"/>
        </w:rPr>
        <w:t xml:space="preserve"> </w:t>
      </w:r>
      <w:r>
        <w:rPr>
          <w:rFonts w:hint="eastAsia" w:ascii="Arial" w:hAnsi="Arial" w:cs="Arial"/>
          <w:b/>
          <w:sz w:val="24"/>
          <w:szCs w:val="24"/>
          <w:lang w:val="en-US" w:eastAsia="zh-CN"/>
        </w:rPr>
        <w:t>Aug</w:t>
      </w:r>
      <w:r>
        <w:rPr>
          <w:rFonts w:hint="eastAsia" w:ascii="Arial" w:hAnsi="Arial" w:cs="Arial"/>
          <w:b/>
          <w:sz w:val="24"/>
          <w:szCs w:val="24"/>
        </w:rPr>
        <w:t xml:space="preserve">, </w:t>
      </w:r>
      <w:r>
        <w:rPr>
          <w:rFonts w:ascii="Arial" w:hAnsi="Arial" w:cs="Arial"/>
          <w:b/>
          <w:sz w:val="24"/>
          <w:szCs w:val="24"/>
          <w:lang w:eastAsia="en-US"/>
        </w:rPr>
        <w:t>20</w:t>
      </w:r>
      <w:r>
        <w:rPr>
          <w:rFonts w:hint="eastAsia" w:ascii="Arial" w:hAnsi="Arial" w:cs="Arial"/>
          <w:b/>
          <w:sz w:val="24"/>
          <w:szCs w:val="24"/>
          <w:lang w:val="en-US" w:eastAsia="zh-CN"/>
        </w:rPr>
        <w:t>20</w:t>
      </w:r>
    </w:p>
    <w:p>
      <w:pPr>
        <w:rPr>
          <w:rFonts w:hint="eastAsia" w:ascii="Arial" w:hAnsi="Arial" w:cs="Arial"/>
          <w:b/>
          <w:sz w:val="24"/>
          <w:szCs w:val="24"/>
        </w:rPr>
      </w:pPr>
      <w:r>
        <w:rPr>
          <w:rFonts w:hint="eastAsia" w:ascii="Arial" w:hAnsi="Arial" w:cs="Arial"/>
          <w:b/>
          <w:sz w:val="24"/>
          <w:szCs w:val="24"/>
        </w:rPr>
        <w:t xml:space="preserve"> </w:t>
      </w:r>
    </w:p>
    <w:p>
      <w:pPr>
        <w:tabs>
          <w:tab w:val="left" w:pos="1985"/>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eastAsia="宋体" w:cs="Arial"/>
          <w:b/>
          <w:sz w:val="24"/>
          <w:szCs w:val="24"/>
          <w:lang w:val="en-US" w:eastAsia="zh-CN"/>
        </w:rPr>
        <w:t>7</w:t>
      </w:r>
      <w:r>
        <w:rPr>
          <w:rFonts w:hint="eastAsia" w:ascii="Arial" w:hAnsi="Arial" w:cs="Arial"/>
          <w:b/>
          <w:sz w:val="24"/>
          <w:szCs w:val="24"/>
        </w:rPr>
        <w:t>.</w:t>
      </w:r>
      <w:r>
        <w:rPr>
          <w:rFonts w:hint="eastAsia" w:ascii="Arial" w:hAnsi="Arial" w:eastAsia="宋体" w:cs="Arial"/>
          <w:b/>
          <w:sz w:val="24"/>
          <w:szCs w:val="24"/>
          <w:lang w:val="en-US" w:eastAsia="zh-CN"/>
        </w:rPr>
        <w:t>4</w:t>
      </w:r>
      <w:r>
        <w:rPr>
          <w:rFonts w:hint="eastAsia" w:ascii="Arial" w:hAnsi="Arial" w:cs="Arial"/>
          <w:b/>
          <w:sz w:val="24"/>
          <w:szCs w:val="24"/>
        </w:rPr>
        <w:t>.</w:t>
      </w:r>
      <w:r>
        <w:rPr>
          <w:rFonts w:hint="eastAsia" w:ascii="Arial" w:hAnsi="Arial" w:eastAsia="宋体" w:cs="Arial"/>
          <w:b/>
          <w:sz w:val="24"/>
          <w:szCs w:val="24"/>
          <w:lang w:val="en-US" w:eastAsia="zh-CN"/>
        </w:rPr>
        <w:t>2</w:t>
      </w:r>
      <w:r>
        <w:rPr>
          <w:rFonts w:hint="eastAsia" w:ascii="Arial" w:hAnsi="Arial" w:cs="Arial"/>
          <w:b/>
          <w:sz w:val="24"/>
          <w:szCs w:val="24"/>
          <w:lang w:val="en-US" w:eastAsia="zh-CN"/>
        </w:rPr>
        <w:t>.1.3</w:t>
      </w:r>
    </w:p>
    <w:p>
      <w:pPr>
        <w:tabs>
          <w:tab w:val="left" w:pos="1985"/>
        </w:tabs>
        <w:spacing w:after="180"/>
        <w:ind w:left="1980" w:hanging="1980"/>
        <w:rPr>
          <w:rFonts w:hint="eastAsia" w:ascii="Arial" w:hAnsi="Arial" w:cs="Arial"/>
          <w:b/>
          <w:sz w:val="24"/>
          <w:szCs w:val="24"/>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p>
    <w:p>
      <w:pPr>
        <w:tabs>
          <w:tab w:val="left" w:pos="1980"/>
        </w:tabs>
        <w:spacing w:after="180"/>
        <w:ind w:left="1980" w:hanging="1980"/>
        <w:rPr>
          <w:rFonts w:hint="eastAsia" w:ascii="Arial" w:hAnsi="Arial" w:eastAsia="宋体" w:cs="Arial"/>
          <w:b/>
          <w:sz w:val="24"/>
          <w:szCs w:val="24"/>
          <w:lang w:val="en-US" w:eastAsia="zh-CN"/>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bookmarkStart w:id="1" w:name="OLE_LINK15"/>
      <w:r>
        <w:rPr>
          <w:rFonts w:hint="eastAsia" w:ascii="Arial" w:hAnsi="Arial" w:eastAsia="宋体" w:cs="Arial"/>
          <w:b/>
          <w:sz w:val="24"/>
          <w:szCs w:val="24"/>
          <w:lang w:val="en-US" w:eastAsia="zh-CN"/>
        </w:rPr>
        <w:t>Further discussion</w:t>
      </w:r>
      <w:r>
        <w:rPr>
          <w:rFonts w:hint="eastAsia" w:ascii="Arial" w:hAnsi="Arial" w:eastAsia="宋体" w:cs="Arial"/>
          <w:b/>
          <w:sz w:val="24"/>
          <w:szCs w:val="24"/>
          <w:lang w:val="en-US" w:eastAsia="zh-CN"/>
        </w:rPr>
        <w:t xml:space="preserve"> on IAB-MT unwanted emission </w:t>
      </w:r>
    </w:p>
    <w:bookmarkEnd w:id="1"/>
    <w:p>
      <w:pPr>
        <w:tabs>
          <w:tab w:val="left" w:pos="1980"/>
        </w:tabs>
        <w:spacing w:after="180"/>
        <w:ind w:left="1980" w:hanging="1980"/>
        <w:rPr>
          <w:rFonts w:hint="eastAsia"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2" w:name="DocumentFor"/>
      <w:bookmarkEnd w:id="2"/>
      <w:r>
        <w:rPr>
          <w:rFonts w:hint="eastAsia" w:ascii="Arial" w:hAnsi="Arial" w:cs="Arial"/>
          <w:b/>
          <w:sz w:val="24"/>
          <w:szCs w:val="24"/>
        </w:rPr>
        <w:t xml:space="preserve">Approval  </w:t>
      </w:r>
    </w:p>
    <w:bookmarkEnd w:id="0"/>
    <w:p>
      <w:pPr>
        <w:pStyle w:val="36"/>
        <w:tabs>
          <w:tab w:val="left" w:pos="567"/>
          <w:tab w:val="clear" w:pos="1985"/>
        </w:tabs>
        <w:adjustRightInd w:val="0"/>
        <w:ind w:left="510" w:hanging="510"/>
      </w:pPr>
      <w:r>
        <w:t>Introduction</w:t>
      </w:r>
    </w:p>
    <w:p>
      <w:pPr>
        <w:pStyle w:val="42"/>
        <w:rPr>
          <w:rFonts w:hint="eastAsia"/>
        </w:rPr>
      </w:pPr>
      <w:bookmarkStart w:id="3" w:name="OLE_LINK2"/>
      <w:r>
        <w:t xml:space="preserve">In the last </w:t>
      </w:r>
      <w:r>
        <w:rPr>
          <w:rFonts w:hint="eastAsia"/>
        </w:rPr>
        <w:t>RAN4#9</w:t>
      </w:r>
      <w:r>
        <w:rPr>
          <w:rFonts w:hint="eastAsia"/>
          <w:lang w:val="en-US" w:eastAsia="zh-CN"/>
        </w:rPr>
        <w:t>5e</w:t>
      </w:r>
      <w:r>
        <w:t xml:space="preserve">, </w:t>
      </w:r>
      <w:r>
        <w:rPr>
          <w:rFonts w:hint="eastAsia"/>
        </w:rPr>
        <w:t>there were extensive discussions on the simulation assumptions for IAB coexistence simulation and WF [1] was approved for initial simulation and some further updates for simulation are agreed during the RAN4#92 AH. Based on the agreed simulation assumptions, some initial simulation results are provided for FR1 IAB coexistence study.</w:t>
      </w:r>
    </w:p>
    <w:bookmarkEnd w:id="3"/>
    <w:p>
      <w:pPr>
        <w:pStyle w:val="36"/>
        <w:tabs>
          <w:tab w:val="left" w:pos="567"/>
          <w:tab w:val="clear" w:pos="1985"/>
        </w:tabs>
        <w:adjustRightInd w:val="0"/>
        <w:ind w:left="510" w:hanging="510"/>
      </w:pPr>
      <w:r>
        <w:rPr>
          <w:rFonts w:hint="eastAsia"/>
        </w:rPr>
        <w:t xml:space="preserve">Discussion </w:t>
      </w:r>
    </w:p>
    <w:p>
      <w:pPr>
        <w:pStyle w:val="42"/>
        <w:keepNext w:val="0"/>
        <w:keepLines w:val="0"/>
        <w:pageBreakBefore w:val="0"/>
        <w:widowControl w:val="0"/>
        <w:kinsoku/>
        <w:wordWrap/>
        <w:overflowPunct/>
        <w:topLinePunct w:val="0"/>
        <w:autoSpaceDE/>
        <w:autoSpaceDN/>
        <w:bidi w:val="0"/>
        <w:adjustRightInd/>
        <w:snapToGrid/>
        <w:textAlignment w:val="auto"/>
        <w:outlineLvl w:val="1"/>
        <w:rPr>
          <w:rFonts w:hint="default"/>
          <w:lang w:val="en-US" w:eastAsia="zh-CN"/>
        </w:rPr>
      </w:pPr>
      <w:bookmarkStart w:id="4" w:name="OLE_LINK7"/>
      <w:bookmarkStart w:id="5" w:name="OLE_LINK13"/>
      <w:bookmarkStart w:id="6" w:name="OLE_LINK14"/>
      <w:r>
        <w:rPr>
          <w:rFonts w:hint="eastAsia"/>
          <w:lang w:val="en-US" w:eastAsia="zh-CN"/>
        </w:rPr>
        <w:t xml:space="preserve">2.1 </w:t>
      </w:r>
      <w:r>
        <w:rPr>
          <w:rFonts w:hint="eastAsia"/>
        </w:rPr>
        <w:t xml:space="preserve">FR1 IAB-MT </w:t>
      </w:r>
      <w:r>
        <w:rPr>
          <w:rFonts w:hint="default"/>
        </w:rPr>
        <w:t>relative ACLR</w:t>
      </w:r>
    </w:p>
    <w:p>
      <w:pPr>
        <w:pStyle w:val="42"/>
        <w:rPr>
          <w:rFonts w:hint="eastAsia" w:eastAsia="宋体"/>
          <w:szCs w:val="21"/>
          <w:lang w:val="en-US" w:eastAsia="zh-CN"/>
        </w:rPr>
      </w:pPr>
      <w:r>
        <w:rPr>
          <w:rFonts w:hint="eastAsia"/>
          <w:szCs w:val="21"/>
          <w:lang w:val="en-US" w:eastAsia="zh-CN"/>
        </w:rPr>
        <w:t>Based on the simulation results [4] provided in the previous meeting, with minimum distance as 40m between IAB-DU and IAB-MT regardless of deployment scenario, It</w:t>
      </w:r>
      <w:r>
        <w:rPr>
          <w:rFonts w:hint="default"/>
          <w:szCs w:val="21"/>
          <w:lang w:val="en-US" w:eastAsia="zh-CN"/>
        </w:rPr>
        <w:t>’</w:t>
      </w:r>
      <w:r>
        <w:rPr>
          <w:rFonts w:hint="eastAsia"/>
          <w:szCs w:val="21"/>
          <w:lang w:val="en-US" w:eastAsia="zh-CN"/>
        </w:rPr>
        <w:t xml:space="preserve">s observed that ACIR 35dBc could meet the both 5% cell average throughput loss and cell edge throughput loss. </w:t>
      </w:r>
      <w:bookmarkStart w:id="7" w:name="OLE_LINK12"/>
      <w:r>
        <w:rPr>
          <w:rFonts w:hint="eastAsia"/>
          <w:szCs w:val="21"/>
          <w:lang w:val="en-US" w:eastAsia="zh-CN"/>
        </w:rPr>
        <w:t>Indeed, as discussed in the companion contribution [xx], minimum distance between IAB-DU and IAB-MT should be much larger than 40m and even child IAB is deployed at the cell edge of parent IAB and beam cannot be steered directly to each other among IAB nodes which might introduce higher interference to coexistence system, otherwise the IAB-DU receiver or IAB-MT receiver might be blocked due to limited RX dynamic range.</w:t>
      </w:r>
      <w:bookmarkEnd w:id="7"/>
    </w:p>
    <w:bookmarkEnd w:id="4"/>
    <w:p>
      <w:pPr>
        <w:pStyle w:val="42"/>
        <w:jc w:val="center"/>
      </w:pPr>
      <w:r>
        <w:drawing>
          <wp:inline distT="0" distB="0" distL="114300" distR="114300">
            <wp:extent cx="5343525" cy="4010025"/>
            <wp:effectExtent l="0" t="0" r="0" b="0"/>
            <wp:docPr id="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
                    <pic:cNvPicPr>
                      <a:picLocks noChangeAspect="1"/>
                    </pic:cNvPicPr>
                  </pic:nvPicPr>
                  <pic:blipFill>
                    <a:blip r:embed="rId5"/>
                    <a:stretch>
                      <a:fillRect/>
                    </a:stretch>
                  </pic:blipFill>
                  <pic:spPr>
                    <a:xfrm>
                      <a:off x="0" y="0"/>
                      <a:ext cx="5343525" cy="4010025"/>
                    </a:xfrm>
                    <a:prstGeom prst="rect">
                      <a:avLst/>
                    </a:prstGeom>
                    <a:noFill/>
                    <a:ln>
                      <a:noFill/>
                    </a:ln>
                  </pic:spPr>
                </pic:pic>
              </a:graphicData>
            </a:graphic>
          </wp:inline>
        </w:drawing>
      </w:r>
    </w:p>
    <w:p>
      <w:pPr>
        <w:pStyle w:val="42"/>
        <w:jc w:val="center"/>
      </w:pPr>
      <w:r>
        <w:rPr>
          <w:rFonts w:hint="eastAsia"/>
        </w:rPr>
        <w:t>Figure 1. cell average throughput loss [%]</w:t>
      </w:r>
    </w:p>
    <w:p>
      <w:pPr>
        <w:pStyle w:val="42"/>
        <w:jc w:val="center"/>
      </w:pPr>
      <w:r>
        <w:drawing>
          <wp:inline distT="0" distB="0" distL="114300" distR="114300">
            <wp:extent cx="5343525" cy="401002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6"/>
                    <a:stretch>
                      <a:fillRect/>
                    </a:stretch>
                  </pic:blipFill>
                  <pic:spPr>
                    <a:xfrm>
                      <a:off x="0" y="0"/>
                      <a:ext cx="5343525" cy="4010025"/>
                    </a:xfrm>
                    <a:prstGeom prst="rect">
                      <a:avLst/>
                    </a:prstGeom>
                    <a:noFill/>
                    <a:ln>
                      <a:noFill/>
                    </a:ln>
                  </pic:spPr>
                </pic:pic>
              </a:graphicData>
            </a:graphic>
          </wp:inline>
        </w:drawing>
      </w:r>
    </w:p>
    <w:p>
      <w:pPr>
        <w:pStyle w:val="42"/>
        <w:jc w:val="center"/>
        <w:rPr>
          <w:rFonts w:hint="eastAsia"/>
        </w:rPr>
      </w:pPr>
      <w:r>
        <w:rPr>
          <w:rFonts w:hint="eastAsia"/>
        </w:rPr>
        <w:t>Figure 2. cell edge throughput loss [%]</w:t>
      </w:r>
    </w:p>
    <w:p>
      <w:pPr>
        <w:pStyle w:val="42"/>
        <w:rPr>
          <w:rFonts w:hint="eastAsia"/>
          <w:b/>
          <w:bCs/>
        </w:rPr>
      </w:pPr>
      <w:bookmarkStart w:id="8" w:name="OLE_LINK1"/>
      <w:bookmarkStart w:id="9" w:name="OLE_LINK8"/>
      <w:r>
        <w:rPr>
          <w:rFonts w:hint="eastAsia"/>
          <w:b/>
          <w:bCs/>
        </w:rPr>
        <w:t xml:space="preserve">Observation: ACIR 35dBc could meet both cell average and cell edge 5% throughput loss. </w:t>
      </w:r>
    </w:p>
    <w:p>
      <w:pPr>
        <w:pStyle w:val="42"/>
        <w:rPr>
          <w:rFonts w:hint="eastAsia"/>
          <w:highlight w:val="none"/>
          <w:lang w:val="en-US" w:eastAsia="zh-CN"/>
        </w:rPr>
      </w:pPr>
      <w:r>
        <w:rPr>
          <w:rFonts w:hint="eastAsia"/>
          <w:highlight w:val="none"/>
        </w:rPr>
        <w:t xml:space="preserve">If IAB MT ACLR reuse FR1 UE ACLR requirement 30dBc, then ACIR in UL should be 32.7dBc considering </w:t>
      </w:r>
      <w:r>
        <w:rPr>
          <w:rFonts w:hint="eastAsia"/>
          <w:highlight w:val="none"/>
          <w:lang w:val="en-US" w:eastAsia="zh-CN"/>
        </w:rPr>
        <w:t xml:space="preserve">FR1 </w:t>
      </w:r>
      <w:r>
        <w:rPr>
          <w:rFonts w:hint="eastAsia"/>
          <w:highlight w:val="none"/>
        </w:rPr>
        <w:t>IAB</w:t>
      </w:r>
      <w:r>
        <w:rPr>
          <w:rFonts w:hint="eastAsia"/>
          <w:highlight w:val="none"/>
          <w:lang w:val="en-US" w:eastAsia="zh-CN"/>
        </w:rPr>
        <w:t>-DU</w:t>
      </w:r>
      <w:r>
        <w:rPr>
          <w:rFonts w:hint="eastAsia"/>
          <w:highlight w:val="none"/>
        </w:rPr>
        <w:t xml:space="preserve"> ACS requirement as </w:t>
      </w:r>
      <w:r>
        <w:rPr>
          <w:rFonts w:hint="eastAsia"/>
          <w:highlight w:val="none"/>
          <w:lang w:val="en-US" w:eastAsia="zh-CN"/>
        </w:rPr>
        <w:t>~</w:t>
      </w:r>
      <w:r>
        <w:rPr>
          <w:rFonts w:hint="eastAsia"/>
          <w:highlight w:val="none"/>
        </w:rPr>
        <w:t>4</w:t>
      </w:r>
      <w:r>
        <w:rPr>
          <w:rFonts w:hint="eastAsia"/>
          <w:highlight w:val="none"/>
          <w:lang w:val="en-US" w:eastAsia="zh-CN"/>
        </w:rPr>
        <w:t>6</w:t>
      </w:r>
      <w:r>
        <w:rPr>
          <w:rFonts w:hint="eastAsia"/>
          <w:highlight w:val="none"/>
        </w:rPr>
        <w:t xml:space="preserve">dBc. </w:t>
      </w:r>
      <w:bookmarkEnd w:id="8"/>
      <w:bookmarkStart w:id="10" w:name="OLE_LINK10"/>
      <w:r>
        <w:rPr>
          <w:rFonts w:hint="eastAsia"/>
          <w:highlight w:val="none"/>
          <w:lang w:val="en-US" w:eastAsia="zh-CN"/>
        </w:rPr>
        <w:t>However from testing or implementation perspective, if IAB-DU and IAB-MT share the same hardware, then similar emission performance could be achieved, therefore it</w:t>
      </w:r>
      <w:r>
        <w:rPr>
          <w:rFonts w:hint="default"/>
          <w:highlight w:val="none"/>
          <w:lang w:val="en-US" w:eastAsia="zh-CN"/>
        </w:rPr>
        <w:t>’</w:t>
      </w:r>
      <w:r>
        <w:rPr>
          <w:rFonts w:hint="eastAsia"/>
          <w:highlight w:val="none"/>
          <w:lang w:val="en-US" w:eastAsia="zh-CN"/>
        </w:rPr>
        <w:t>s proposed to define FR1 IAB-MT ACLR requirement as 45dBc.</w:t>
      </w:r>
      <w:bookmarkEnd w:id="10"/>
    </w:p>
    <w:p>
      <w:pPr>
        <w:pStyle w:val="42"/>
        <w:rPr>
          <w:rFonts w:hint="eastAsia"/>
          <w:b/>
          <w:bCs/>
        </w:rPr>
      </w:pPr>
      <w:bookmarkStart w:id="11" w:name="OLE_LINK3"/>
      <w:r>
        <w:rPr>
          <w:rFonts w:hint="eastAsia"/>
          <w:b/>
          <w:bCs/>
        </w:rPr>
        <w:t xml:space="preserve">Proposal </w:t>
      </w:r>
      <w:r>
        <w:rPr>
          <w:rFonts w:hint="eastAsia"/>
          <w:b/>
          <w:bCs/>
          <w:lang w:val="en-US" w:eastAsia="zh-CN"/>
        </w:rPr>
        <w:t>1</w:t>
      </w:r>
      <w:r>
        <w:rPr>
          <w:rFonts w:hint="eastAsia"/>
          <w:b/>
          <w:bCs/>
        </w:rPr>
        <w:t>:</w:t>
      </w:r>
      <w:r>
        <w:rPr>
          <w:rFonts w:hint="eastAsia"/>
          <w:b/>
          <w:bCs/>
          <w:lang w:val="en-US" w:eastAsia="zh-CN"/>
        </w:rPr>
        <w:t>to</w:t>
      </w:r>
      <w:r>
        <w:rPr>
          <w:rFonts w:hint="eastAsia"/>
          <w:b/>
          <w:bCs/>
        </w:rPr>
        <w:t xml:space="preserve"> define FR1 IAB MT ACLR as </w:t>
      </w:r>
      <w:r>
        <w:rPr>
          <w:rFonts w:hint="eastAsia"/>
          <w:b/>
          <w:bCs/>
          <w:lang w:val="en-US" w:eastAsia="zh-CN"/>
        </w:rPr>
        <w:t>45</w:t>
      </w:r>
      <w:r>
        <w:rPr>
          <w:rFonts w:hint="eastAsia"/>
          <w:b/>
          <w:bCs/>
        </w:rPr>
        <w:t>dBc;</w:t>
      </w:r>
    </w:p>
    <w:p>
      <w:pPr>
        <w:pStyle w:val="42"/>
        <w:rPr>
          <w:rFonts w:hint="eastAsia"/>
          <w:b/>
          <w:bCs/>
          <w:color w:val="00B0F0"/>
          <w:lang w:val="en-US" w:eastAsia="zh-CN"/>
        </w:rPr>
      </w:pPr>
    </w:p>
    <w:p>
      <w:pPr>
        <w:pStyle w:val="42"/>
        <w:keepNext w:val="0"/>
        <w:keepLines w:val="0"/>
        <w:pageBreakBefore w:val="0"/>
        <w:widowControl w:val="0"/>
        <w:kinsoku/>
        <w:wordWrap/>
        <w:overflowPunct/>
        <w:topLinePunct w:val="0"/>
        <w:autoSpaceDE/>
        <w:autoSpaceDN/>
        <w:bidi w:val="0"/>
        <w:adjustRightInd/>
        <w:snapToGrid/>
        <w:textAlignment w:val="auto"/>
        <w:outlineLvl w:val="1"/>
        <w:rPr>
          <w:rFonts w:hint="default"/>
          <w:highlight w:val="none"/>
          <w:lang w:val="en-US" w:eastAsia="zh-CN"/>
        </w:rPr>
      </w:pPr>
      <w:r>
        <w:rPr>
          <w:rFonts w:hint="eastAsia"/>
          <w:highlight w:val="none"/>
          <w:lang w:val="en-US" w:eastAsia="zh-CN"/>
        </w:rPr>
        <w:t xml:space="preserve">2.2 </w:t>
      </w:r>
      <w:r>
        <w:rPr>
          <w:rFonts w:hint="default"/>
          <w:highlight w:val="none"/>
          <w:lang w:val="en-US" w:eastAsia="zh-CN"/>
        </w:rPr>
        <w:t>OBUE and SEM</w:t>
      </w:r>
    </w:p>
    <w:p>
      <w:pPr>
        <w:pStyle w:val="20"/>
        <w:keepNext w:val="0"/>
        <w:keepLines w:val="0"/>
        <w:widowControl/>
        <w:suppressLineNumbers w:val="0"/>
        <w:bidi w:val="0"/>
        <w:spacing w:before="62" w:beforeAutospacing="0" w:after="0" w:afterAutospacing="0" w:line="288" w:lineRule="auto"/>
        <w:jc w:val="left"/>
        <w:textAlignment w:val="baseline"/>
      </w:pPr>
      <w:r>
        <w:rPr>
          <w:rFonts w:ascii="Calibri" w:hAnsi="Calibri" w:eastAsia="微软雅黑" w:cs="mn-cs"/>
          <w:color w:val="000000"/>
          <w:sz w:val="26"/>
          <w:szCs w:val="26"/>
          <w:vertAlign w:val="baseline"/>
        </w:rPr>
        <w:t>For FR2:</w:t>
      </w:r>
    </w:p>
    <w:p>
      <w:pPr>
        <w:keepNext w:val="0"/>
        <w:keepLines w:val="0"/>
        <w:widowControl/>
        <w:suppressLineNumbers w:val="0"/>
        <w:bidi w:val="0"/>
        <w:spacing w:before="53" w:beforeAutospacing="0" w:after="0" w:afterAutospacing="0" w:line="288" w:lineRule="auto"/>
        <w:ind w:left="1166" w:hanging="446"/>
        <w:jc w:val="left"/>
        <w:textAlignment w:val="baseline"/>
      </w:pPr>
      <w:r>
        <w:rPr>
          <w:rFonts w:ascii="Arial" w:hAnsi="Arial" w:eastAsia="宋体" w:cs="Arial"/>
          <w:kern w:val="0"/>
          <w:sz w:val="22"/>
          <w:szCs w:val="22"/>
          <w:vertAlign w:val="baseline"/>
          <w:lang w:val="en-US" w:eastAsia="zh-CN" w:bidi="ar"/>
        </w:rPr>
        <w:t>–</w:t>
      </w:r>
      <w:r>
        <w:rPr>
          <w:rFonts w:hint="default" w:ascii="Calibri" w:hAnsi="Calibri" w:eastAsia="微软雅黑" w:cs="Calibri"/>
          <w:color w:val="00B050"/>
          <w:kern w:val="0"/>
          <w:sz w:val="22"/>
          <w:szCs w:val="22"/>
          <w:vertAlign w:val="baseline"/>
          <w:lang w:val="en-US" w:eastAsia="zh-CN" w:bidi="ar"/>
        </w:rPr>
        <w:t xml:space="preserve">Wide area IAB-MT: Wide Area IAB-MT shall meet [wide area] BS OBUE requirements </w:t>
      </w:r>
    </w:p>
    <w:p>
      <w:pPr>
        <w:keepNext w:val="0"/>
        <w:keepLines w:val="0"/>
        <w:widowControl/>
        <w:suppressLineNumbers w:val="0"/>
        <w:bidi w:val="0"/>
        <w:spacing w:before="48" w:beforeAutospacing="0" w:after="0" w:afterAutospacing="0" w:line="288" w:lineRule="auto"/>
        <w:ind w:left="1800" w:hanging="360"/>
        <w:jc w:val="left"/>
        <w:textAlignment w:val="baseline"/>
      </w:pPr>
      <w:r>
        <w:rPr>
          <w:rFonts w:hint="default" w:ascii="Arial" w:hAnsi="Arial" w:eastAsia="宋体" w:cs="Arial"/>
          <w:kern w:val="0"/>
          <w:sz w:val="20"/>
          <w:szCs w:val="20"/>
          <w:vertAlign w:val="baseline"/>
          <w:lang w:val="en-US" w:eastAsia="zh-CN" w:bidi="ar"/>
        </w:rPr>
        <w:t>•</w:t>
      </w:r>
      <w:r>
        <w:rPr>
          <w:rFonts w:hint="default" w:ascii="Calibri" w:hAnsi="Calibri" w:eastAsia="微软雅黑" w:cs="Calibri"/>
          <w:color w:val="00B050"/>
          <w:kern w:val="0"/>
          <w:sz w:val="20"/>
          <w:szCs w:val="20"/>
          <w:vertAlign w:val="baseline"/>
          <w:lang w:val="en-US" w:eastAsia="zh-CN" w:bidi="ar"/>
        </w:rPr>
        <w:t xml:space="preserve">We can further discuss  how to capture the requirements into TS/TR. </w:t>
      </w:r>
    </w:p>
    <w:p>
      <w:pPr>
        <w:keepNext w:val="0"/>
        <w:keepLines w:val="0"/>
        <w:widowControl/>
        <w:suppressLineNumbers w:val="0"/>
        <w:bidi w:val="0"/>
        <w:spacing w:before="53" w:beforeAutospacing="0" w:after="0" w:afterAutospacing="0" w:line="288" w:lineRule="auto"/>
        <w:ind w:left="1166" w:hanging="446"/>
        <w:jc w:val="left"/>
        <w:textAlignment w:val="baseline"/>
      </w:pPr>
      <w:r>
        <w:rPr>
          <w:rFonts w:hint="default" w:ascii="Arial" w:hAnsi="Arial" w:eastAsia="宋体" w:cs="Arial"/>
          <w:kern w:val="0"/>
          <w:sz w:val="22"/>
          <w:szCs w:val="22"/>
          <w:vertAlign w:val="baseline"/>
          <w:lang w:val="en-US" w:eastAsia="zh-CN" w:bidi="ar"/>
        </w:rPr>
        <w:t>–</w:t>
      </w:r>
      <w:r>
        <w:rPr>
          <w:rFonts w:hint="default" w:ascii="Calibri" w:hAnsi="Calibri" w:eastAsia="微软雅黑" w:cs="Calibri"/>
          <w:color w:val="00B050"/>
          <w:kern w:val="0"/>
          <w:sz w:val="22"/>
          <w:szCs w:val="22"/>
          <w:vertAlign w:val="baseline"/>
          <w:lang w:val="en-US" w:eastAsia="zh-CN" w:bidi="ar"/>
        </w:rPr>
        <w:t>FFS for local area IAB-MT, make decision in Q3 2020</w:t>
      </w:r>
    </w:p>
    <w:p>
      <w:pPr>
        <w:keepNext w:val="0"/>
        <w:keepLines w:val="0"/>
        <w:widowControl/>
        <w:suppressLineNumbers w:val="0"/>
        <w:bidi w:val="0"/>
        <w:spacing w:before="48" w:beforeAutospacing="0" w:after="0" w:afterAutospacing="0" w:line="288" w:lineRule="auto"/>
        <w:ind w:left="1800" w:hanging="360"/>
        <w:jc w:val="left"/>
        <w:textAlignment w:val="baseline"/>
      </w:pPr>
      <w:r>
        <w:rPr>
          <w:rFonts w:hint="default" w:ascii="Arial" w:hAnsi="Arial" w:eastAsia="宋体" w:cs="Arial"/>
          <w:kern w:val="0"/>
          <w:sz w:val="20"/>
          <w:szCs w:val="20"/>
          <w:vertAlign w:val="baseline"/>
          <w:lang w:val="en-US" w:eastAsia="zh-CN" w:bidi="ar"/>
        </w:rPr>
        <w:t>•</w:t>
      </w:r>
      <w:r>
        <w:rPr>
          <w:rFonts w:hint="default" w:ascii="Calibri" w:hAnsi="Calibri" w:eastAsia="微软雅黑" w:cs="Calibri"/>
          <w:color w:val="00B050"/>
          <w:kern w:val="0"/>
          <w:sz w:val="20"/>
          <w:szCs w:val="20"/>
          <w:vertAlign w:val="baseline"/>
          <w:lang w:val="en-US" w:eastAsia="zh-CN" w:bidi="ar"/>
        </w:rPr>
        <w:t xml:space="preserve">Option 1: Using Local area BS OBUE requirements </w:t>
      </w:r>
    </w:p>
    <w:p>
      <w:pPr>
        <w:keepNext w:val="0"/>
        <w:keepLines w:val="0"/>
        <w:widowControl/>
        <w:suppressLineNumbers w:val="0"/>
        <w:bidi w:val="0"/>
        <w:spacing w:before="48" w:beforeAutospacing="0" w:after="0" w:afterAutospacing="0" w:line="288" w:lineRule="auto"/>
        <w:ind w:left="1800" w:hanging="360"/>
        <w:jc w:val="left"/>
        <w:textAlignment w:val="baseline"/>
        <w:rPr>
          <w:rFonts w:hint="default" w:ascii="Calibri" w:hAnsi="Calibri" w:eastAsia="微软雅黑" w:cs="Calibri"/>
          <w:color w:val="00B050"/>
          <w:kern w:val="0"/>
          <w:sz w:val="20"/>
          <w:szCs w:val="20"/>
          <w:vertAlign w:val="baseline"/>
          <w:lang w:val="en-US" w:eastAsia="zh-CN" w:bidi="ar"/>
        </w:rPr>
      </w:pPr>
      <w:r>
        <w:rPr>
          <w:rFonts w:hint="default" w:ascii="Arial" w:hAnsi="Arial" w:eastAsia="宋体" w:cs="Arial"/>
          <w:kern w:val="0"/>
          <w:sz w:val="20"/>
          <w:szCs w:val="20"/>
          <w:vertAlign w:val="baseline"/>
          <w:lang w:val="en-US" w:eastAsia="zh-CN" w:bidi="ar"/>
        </w:rPr>
        <w:t>•</w:t>
      </w:r>
      <w:r>
        <w:rPr>
          <w:rFonts w:hint="default" w:ascii="Calibri" w:hAnsi="Calibri" w:eastAsia="微软雅黑" w:cs="Calibri"/>
          <w:color w:val="00B050"/>
          <w:kern w:val="0"/>
          <w:sz w:val="20"/>
          <w:szCs w:val="20"/>
          <w:vertAlign w:val="baseline"/>
          <w:lang w:val="en-US" w:eastAsia="zh-CN" w:bidi="ar"/>
        </w:rPr>
        <w:t xml:space="preserve">Option 2: Using UE specification requirements </w:t>
      </w:r>
    </w:p>
    <w:p>
      <w:pPr>
        <w:pStyle w:val="42"/>
        <w:rPr>
          <w:rFonts w:hint="default"/>
          <w:highlight w:val="none"/>
          <w:lang w:val="en-US" w:eastAsia="zh-CN"/>
        </w:rPr>
      </w:pPr>
      <w:r>
        <w:rPr>
          <w:rFonts w:hint="eastAsia"/>
          <w:highlight w:val="none"/>
          <w:lang w:val="en-US" w:eastAsia="zh-CN"/>
        </w:rPr>
        <w:t>For FR2 Local area IAB-MT, as relative ACLR requirement is agreed as 24dBc, then it</w:t>
      </w:r>
      <w:r>
        <w:rPr>
          <w:rFonts w:hint="default"/>
          <w:highlight w:val="none"/>
          <w:lang w:val="en-US" w:eastAsia="zh-CN"/>
        </w:rPr>
        <w:t>’</w:t>
      </w:r>
      <w:r>
        <w:rPr>
          <w:rFonts w:hint="eastAsia"/>
          <w:highlight w:val="none"/>
          <w:lang w:val="en-US" w:eastAsia="zh-CN"/>
        </w:rPr>
        <w:t>s more close to local are BS requirement, therefore we propose to use local area BS OBUE requirements instead of UE requirements.</w:t>
      </w:r>
    </w:p>
    <w:p>
      <w:pPr>
        <w:pStyle w:val="42"/>
        <w:rPr>
          <w:rFonts w:hint="default" w:ascii="Calibri" w:hAnsi="Calibri" w:eastAsia="微软雅黑" w:cs="Calibri"/>
          <w:color w:val="00B050"/>
          <w:kern w:val="0"/>
          <w:sz w:val="20"/>
          <w:szCs w:val="20"/>
          <w:vertAlign w:val="baseline"/>
          <w:lang w:val="en-US" w:eastAsia="zh-CN" w:bidi="ar"/>
        </w:rPr>
      </w:pPr>
      <w:r>
        <w:rPr>
          <w:rFonts w:hint="eastAsia"/>
          <w:b/>
          <w:bCs/>
          <w:lang w:val="en-US" w:eastAsia="zh-CN"/>
        </w:rPr>
        <w:t>Proposal 2: for FR2 local area IAB-MT, propose to use local area BS OBUE requirements;</w:t>
      </w:r>
    </w:p>
    <w:p>
      <w:pPr>
        <w:pStyle w:val="20"/>
        <w:keepNext w:val="0"/>
        <w:keepLines w:val="0"/>
        <w:widowControl/>
        <w:suppressLineNumbers w:val="0"/>
        <w:bidi w:val="0"/>
        <w:spacing w:before="62" w:beforeAutospacing="0" w:after="0" w:afterAutospacing="0" w:line="288" w:lineRule="auto"/>
        <w:jc w:val="left"/>
        <w:textAlignment w:val="baseline"/>
      </w:pPr>
      <w:r>
        <w:rPr>
          <w:rFonts w:hint="default" w:ascii="Calibri" w:hAnsi="Calibri" w:eastAsia="微软雅黑" w:cs="mn-cs"/>
          <w:color w:val="000000"/>
          <w:sz w:val="26"/>
          <w:szCs w:val="26"/>
          <w:vertAlign w:val="baseline"/>
        </w:rPr>
        <w:t>For FR1</w:t>
      </w:r>
    </w:p>
    <w:p>
      <w:pPr>
        <w:keepNext w:val="0"/>
        <w:keepLines w:val="0"/>
        <w:widowControl/>
        <w:suppressLineNumbers w:val="0"/>
        <w:bidi w:val="0"/>
        <w:spacing w:before="53" w:beforeAutospacing="0" w:after="0" w:afterAutospacing="0" w:line="288" w:lineRule="auto"/>
        <w:ind w:left="1166" w:hanging="446"/>
        <w:jc w:val="left"/>
        <w:textAlignment w:val="baseline"/>
      </w:pPr>
      <w:r>
        <w:rPr>
          <w:rFonts w:hint="default" w:ascii="Arial" w:hAnsi="Arial" w:eastAsia="宋体" w:cs="Arial"/>
          <w:kern w:val="0"/>
          <w:sz w:val="22"/>
          <w:szCs w:val="22"/>
          <w:vertAlign w:val="baseline"/>
          <w:lang w:val="en-US" w:eastAsia="zh-CN" w:bidi="ar"/>
        </w:rPr>
        <w:t>–</w:t>
      </w:r>
      <w:r>
        <w:rPr>
          <w:rFonts w:hint="default" w:ascii="Calibri" w:hAnsi="Calibri" w:eastAsia="微软雅黑" w:cs="Calibri"/>
          <w:color w:val="00B050"/>
          <w:kern w:val="0"/>
          <w:sz w:val="22"/>
          <w:szCs w:val="22"/>
          <w:vertAlign w:val="baseline"/>
          <w:lang w:val="en-US" w:eastAsia="zh-CN" w:bidi="ar"/>
        </w:rPr>
        <w:t>Wide Area IAB-MT shall meet [wide area] BS OBUE requirements</w:t>
      </w:r>
    </w:p>
    <w:p>
      <w:pPr>
        <w:keepNext w:val="0"/>
        <w:keepLines w:val="0"/>
        <w:widowControl/>
        <w:suppressLineNumbers w:val="0"/>
        <w:bidi w:val="0"/>
        <w:spacing w:before="48" w:beforeAutospacing="0" w:after="0" w:afterAutospacing="0" w:line="288" w:lineRule="auto"/>
        <w:ind w:left="1800" w:hanging="360"/>
        <w:jc w:val="left"/>
        <w:textAlignment w:val="baseline"/>
      </w:pPr>
      <w:r>
        <w:rPr>
          <w:rFonts w:hint="default" w:ascii="Arial" w:hAnsi="Arial" w:eastAsia="宋体" w:cs="Arial"/>
          <w:kern w:val="0"/>
          <w:sz w:val="20"/>
          <w:szCs w:val="20"/>
          <w:vertAlign w:val="baseline"/>
          <w:lang w:val="en-US" w:eastAsia="zh-CN" w:bidi="ar"/>
        </w:rPr>
        <w:t>•</w:t>
      </w:r>
      <w:r>
        <w:rPr>
          <w:rFonts w:hint="default" w:ascii="Calibri" w:hAnsi="Calibri" w:eastAsia="微软雅黑" w:cs="Calibri"/>
          <w:color w:val="00B050"/>
          <w:kern w:val="0"/>
          <w:sz w:val="20"/>
          <w:szCs w:val="20"/>
          <w:vertAlign w:val="baseline"/>
          <w:lang w:val="en-US" w:eastAsia="zh-CN" w:bidi="ar"/>
        </w:rPr>
        <w:t xml:space="preserve">We can further discuss  how to capture the requirements into TS/TR. </w:t>
      </w:r>
    </w:p>
    <w:p>
      <w:pPr>
        <w:keepNext w:val="0"/>
        <w:keepLines w:val="0"/>
        <w:widowControl/>
        <w:suppressLineNumbers w:val="0"/>
        <w:bidi w:val="0"/>
        <w:spacing w:before="58" w:beforeAutospacing="0" w:after="0" w:afterAutospacing="0" w:line="288" w:lineRule="auto"/>
        <w:ind w:left="1166" w:hanging="446"/>
        <w:jc w:val="left"/>
        <w:textAlignment w:val="baseline"/>
      </w:pPr>
      <w:r>
        <w:rPr>
          <w:rFonts w:hint="default" w:ascii="Arial" w:hAnsi="Arial" w:eastAsia="宋体" w:cs="Arial"/>
          <w:kern w:val="0"/>
          <w:sz w:val="24"/>
          <w:szCs w:val="24"/>
          <w:vertAlign w:val="baseline"/>
          <w:lang w:val="en-US" w:eastAsia="zh-CN" w:bidi="ar"/>
        </w:rPr>
        <w:t>–</w:t>
      </w:r>
      <w:r>
        <w:rPr>
          <w:rFonts w:hint="default" w:ascii="Calibri" w:hAnsi="Calibri" w:eastAsia="微软雅黑" w:cs="Calibri"/>
          <w:color w:val="00B050"/>
          <w:kern w:val="0"/>
          <w:sz w:val="24"/>
          <w:szCs w:val="24"/>
          <w:vertAlign w:val="baseline"/>
          <w:lang w:val="en-US" w:eastAsia="zh-CN" w:bidi="ar"/>
        </w:rPr>
        <w:t>FFS for local area IAB-MT</w:t>
      </w:r>
    </w:p>
    <w:p>
      <w:pPr>
        <w:keepNext w:val="0"/>
        <w:keepLines w:val="0"/>
        <w:widowControl/>
        <w:suppressLineNumbers w:val="0"/>
        <w:bidi w:val="0"/>
        <w:spacing w:before="48" w:beforeAutospacing="0" w:after="0" w:afterAutospacing="0" w:line="288" w:lineRule="auto"/>
        <w:ind w:left="1800" w:hanging="360"/>
        <w:jc w:val="left"/>
        <w:textAlignment w:val="baseline"/>
      </w:pPr>
      <w:r>
        <w:rPr>
          <w:rFonts w:hint="default" w:ascii="Arial" w:hAnsi="Arial" w:eastAsia="宋体" w:cs="Arial"/>
          <w:kern w:val="0"/>
          <w:sz w:val="20"/>
          <w:szCs w:val="20"/>
          <w:vertAlign w:val="baseline"/>
          <w:lang w:val="en-US" w:eastAsia="zh-CN" w:bidi="ar"/>
        </w:rPr>
        <w:t>•</w:t>
      </w:r>
      <w:r>
        <w:rPr>
          <w:rFonts w:hint="default" w:ascii="Calibri" w:hAnsi="Calibri" w:eastAsia="微软雅黑" w:cs="Calibri"/>
          <w:color w:val="00B050"/>
          <w:kern w:val="0"/>
          <w:sz w:val="20"/>
          <w:szCs w:val="20"/>
          <w:vertAlign w:val="baseline"/>
          <w:lang w:val="en-US" w:eastAsia="zh-CN" w:bidi="ar"/>
        </w:rPr>
        <w:t xml:space="preserve">Option 1: Using Local area BS OBUE requirements </w:t>
      </w:r>
    </w:p>
    <w:p>
      <w:pPr>
        <w:keepNext w:val="0"/>
        <w:keepLines w:val="0"/>
        <w:widowControl/>
        <w:suppressLineNumbers w:val="0"/>
        <w:bidi w:val="0"/>
        <w:spacing w:before="48" w:beforeAutospacing="0" w:after="0" w:afterAutospacing="0" w:line="288" w:lineRule="auto"/>
        <w:ind w:left="1800" w:hanging="360"/>
        <w:jc w:val="left"/>
        <w:textAlignment w:val="baseline"/>
        <w:rPr>
          <w:rFonts w:hint="default" w:ascii="Calibri" w:hAnsi="Calibri" w:eastAsia="微软雅黑" w:cs="Calibri"/>
          <w:color w:val="00B050"/>
          <w:kern w:val="0"/>
          <w:sz w:val="20"/>
          <w:szCs w:val="20"/>
          <w:vertAlign w:val="baseline"/>
          <w:lang w:val="en-US" w:eastAsia="zh-CN" w:bidi="ar"/>
        </w:rPr>
      </w:pPr>
      <w:r>
        <w:rPr>
          <w:rFonts w:hint="default" w:ascii="Arial" w:hAnsi="Arial" w:eastAsia="宋体" w:cs="Arial"/>
          <w:kern w:val="0"/>
          <w:sz w:val="20"/>
          <w:szCs w:val="20"/>
          <w:vertAlign w:val="baseline"/>
          <w:lang w:val="en-US" w:eastAsia="zh-CN" w:bidi="ar"/>
        </w:rPr>
        <w:t>•</w:t>
      </w:r>
      <w:r>
        <w:rPr>
          <w:rFonts w:hint="default" w:ascii="Calibri" w:hAnsi="Calibri" w:eastAsia="微软雅黑" w:cs="Calibri"/>
          <w:color w:val="00B050"/>
          <w:kern w:val="0"/>
          <w:sz w:val="20"/>
          <w:szCs w:val="20"/>
          <w:vertAlign w:val="baseline"/>
          <w:lang w:val="en-US" w:eastAsia="zh-CN" w:bidi="ar"/>
        </w:rPr>
        <w:t xml:space="preserve">Option 2: Using UE specification requirements </w:t>
      </w:r>
    </w:p>
    <w:p>
      <w:pPr>
        <w:pStyle w:val="42"/>
        <w:rPr>
          <w:rFonts w:hint="default"/>
          <w:highlight w:val="none"/>
          <w:lang w:val="en-US" w:eastAsia="zh-CN"/>
        </w:rPr>
      </w:pPr>
      <w:r>
        <w:rPr>
          <w:rFonts w:hint="eastAsia"/>
          <w:highlight w:val="none"/>
          <w:lang w:val="en-US" w:eastAsia="zh-CN"/>
        </w:rPr>
        <w:t>For FR1 Local area IAB-MT, as mentioned in section 1, we propose to have 45dBc ACLR requirements defined, therefore we think using local area BS OBUE requirement is more reasonable for FR1 local area IAB-MT</w:t>
      </w:r>
    </w:p>
    <w:p>
      <w:pPr>
        <w:pStyle w:val="42"/>
        <w:rPr>
          <w:rFonts w:hint="default" w:ascii="Calibri" w:hAnsi="Calibri" w:eastAsia="微软雅黑" w:cs="Calibri"/>
          <w:color w:val="00B050"/>
          <w:kern w:val="0"/>
          <w:sz w:val="20"/>
          <w:szCs w:val="20"/>
          <w:vertAlign w:val="baseline"/>
          <w:lang w:val="en-US" w:eastAsia="zh-CN" w:bidi="ar"/>
        </w:rPr>
      </w:pPr>
      <w:r>
        <w:rPr>
          <w:rFonts w:hint="eastAsia"/>
          <w:b/>
          <w:bCs/>
          <w:lang w:val="en-US" w:eastAsia="zh-CN"/>
        </w:rPr>
        <w:t>Proposal 3: for FR1 local area IAB-MT, propose to use local area BS OBUE requirements;</w:t>
      </w:r>
    </w:p>
    <w:p>
      <w:pPr>
        <w:pStyle w:val="20"/>
        <w:keepNext w:val="0"/>
        <w:keepLines w:val="0"/>
        <w:widowControl/>
        <w:suppressLineNumbers w:val="0"/>
        <w:bidi w:val="0"/>
        <w:spacing w:before="62" w:beforeAutospacing="0" w:after="0" w:afterAutospacing="0" w:line="288" w:lineRule="auto"/>
        <w:jc w:val="left"/>
        <w:textAlignment w:val="baseline"/>
      </w:pPr>
      <w:r>
        <w:rPr>
          <w:rFonts w:hint="default" w:ascii="Calibri" w:hAnsi="Calibri" w:eastAsia="微软雅黑" w:cs="mn-cs"/>
          <w:color w:val="000000"/>
          <w:sz w:val="26"/>
          <w:szCs w:val="26"/>
          <w:vertAlign w:val="baseline"/>
        </w:rPr>
        <w:t>FR1 and FR2 the boundary between in-band and spurious region</w:t>
      </w:r>
    </w:p>
    <w:p>
      <w:pPr>
        <w:keepNext w:val="0"/>
        <w:keepLines w:val="0"/>
        <w:widowControl/>
        <w:suppressLineNumbers w:val="0"/>
        <w:bidi w:val="0"/>
        <w:spacing w:before="53" w:beforeAutospacing="0" w:after="0" w:afterAutospacing="0" w:line="288" w:lineRule="auto"/>
        <w:ind w:left="1166" w:hanging="446"/>
        <w:jc w:val="left"/>
        <w:textAlignment w:val="baseline"/>
      </w:pPr>
      <w:r>
        <w:rPr>
          <w:rFonts w:hint="default" w:ascii="Arial" w:hAnsi="Arial" w:eastAsia="宋体" w:cs="Arial"/>
          <w:kern w:val="0"/>
          <w:sz w:val="22"/>
          <w:szCs w:val="22"/>
          <w:vertAlign w:val="baseline"/>
          <w:lang w:val="en-US" w:eastAsia="zh-CN" w:bidi="ar"/>
        </w:rPr>
        <w:t>–</w:t>
      </w:r>
      <w:r>
        <w:rPr>
          <w:rFonts w:hint="default" w:ascii="Calibri" w:hAnsi="Calibri" w:eastAsia="微软雅黑" w:cs="Calibri"/>
          <w:color w:val="00B050"/>
          <w:kern w:val="0"/>
          <w:sz w:val="22"/>
          <w:szCs w:val="22"/>
          <w:vertAlign w:val="baseline"/>
          <w:lang w:val="en-US" w:eastAsia="zh-CN" w:bidi="ar"/>
        </w:rPr>
        <w:t>Wide-area IAB-MT: follow BS requirements</w:t>
      </w:r>
    </w:p>
    <w:p>
      <w:pPr>
        <w:keepNext w:val="0"/>
        <w:keepLines w:val="0"/>
        <w:widowControl/>
        <w:suppressLineNumbers w:val="0"/>
        <w:bidi w:val="0"/>
        <w:spacing w:before="53" w:beforeAutospacing="0" w:after="0" w:afterAutospacing="0" w:line="288" w:lineRule="auto"/>
        <w:ind w:left="1166" w:hanging="446"/>
        <w:jc w:val="left"/>
        <w:textAlignment w:val="baseline"/>
        <w:rPr>
          <w:rFonts w:hint="default" w:ascii="Calibri" w:hAnsi="Calibri" w:eastAsia="微软雅黑" w:cs="Calibri"/>
          <w:color w:val="00B050"/>
          <w:kern w:val="0"/>
          <w:sz w:val="20"/>
          <w:szCs w:val="20"/>
          <w:vertAlign w:val="baseline"/>
          <w:lang w:val="en-US" w:eastAsia="zh-CN" w:bidi="ar"/>
        </w:rPr>
      </w:pPr>
      <w:r>
        <w:rPr>
          <w:rFonts w:hint="default" w:ascii="Arial" w:hAnsi="Arial" w:eastAsia="宋体" w:cs="Arial"/>
          <w:kern w:val="0"/>
          <w:sz w:val="22"/>
          <w:szCs w:val="22"/>
          <w:vertAlign w:val="baseline"/>
          <w:lang w:val="en-US" w:eastAsia="zh-CN" w:bidi="ar"/>
        </w:rPr>
        <w:t>–</w:t>
      </w:r>
      <w:r>
        <w:rPr>
          <w:rFonts w:hint="default" w:ascii="Calibri" w:hAnsi="Calibri" w:eastAsia="微软雅黑" w:cs="Calibri"/>
          <w:color w:val="00B050"/>
          <w:kern w:val="0"/>
          <w:sz w:val="22"/>
          <w:szCs w:val="22"/>
          <w:vertAlign w:val="baseline"/>
          <w:lang w:val="en-US" w:eastAsia="zh-CN" w:bidi="ar"/>
        </w:rPr>
        <w:t>Local-area IAB-MT: FFS</w:t>
      </w:r>
    </w:p>
    <w:p>
      <w:pPr>
        <w:pStyle w:val="42"/>
        <w:rPr>
          <w:rFonts w:hint="eastAsia"/>
          <w:highlight w:val="none"/>
          <w:lang w:val="en-US" w:eastAsia="zh-CN"/>
        </w:rPr>
      </w:pPr>
      <w:r>
        <w:rPr>
          <w:rFonts w:hint="eastAsia"/>
          <w:highlight w:val="none"/>
          <w:lang w:val="en-US" w:eastAsia="zh-CN"/>
        </w:rPr>
        <w:t>Based on the proposal in the following section 2.3 and UEM proposed for local area IAB-MT, we think BS requirement should be fine. For Cat A spurious emission requirements, FOBUE could also be used as boundary.</w:t>
      </w:r>
    </w:p>
    <w:p>
      <w:pPr>
        <w:pStyle w:val="42"/>
        <w:rPr>
          <w:rFonts w:hint="default"/>
          <w:b/>
          <w:bCs/>
          <w:lang w:val="en-US" w:eastAsia="zh-CN"/>
        </w:rPr>
      </w:pPr>
      <w:r>
        <w:rPr>
          <w:rFonts w:hint="eastAsia"/>
          <w:b/>
          <w:bCs/>
          <w:lang w:val="en-US" w:eastAsia="zh-CN"/>
        </w:rPr>
        <w:t>Proposal 4: follow BS requirements for FR1 and FR2 F</w:t>
      </w:r>
      <w:r>
        <w:rPr>
          <w:rFonts w:hint="eastAsia"/>
          <w:b/>
          <w:bCs/>
          <w:vertAlign w:val="subscript"/>
          <w:lang w:val="en-US" w:eastAsia="zh-CN"/>
        </w:rPr>
        <w:t>OBUE</w:t>
      </w:r>
      <w:r>
        <w:rPr>
          <w:rFonts w:hint="eastAsia"/>
          <w:b/>
          <w:bCs/>
          <w:lang w:val="en-US" w:eastAsia="zh-CN"/>
        </w:rPr>
        <w:t xml:space="preserve"> boundary.</w:t>
      </w:r>
    </w:p>
    <w:p>
      <w:pPr>
        <w:keepNext w:val="0"/>
        <w:keepLines w:val="0"/>
        <w:widowControl/>
        <w:suppressLineNumbers w:val="0"/>
        <w:bidi w:val="0"/>
        <w:spacing w:before="53" w:beforeAutospacing="0" w:after="0" w:afterAutospacing="0" w:line="288" w:lineRule="auto"/>
        <w:jc w:val="left"/>
        <w:textAlignment w:val="baseline"/>
        <w:rPr>
          <w:rFonts w:hint="default" w:ascii="Calibri" w:hAnsi="Calibri" w:eastAsia="微软雅黑" w:cs="Calibri"/>
          <w:color w:val="00B050"/>
          <w:kern w:val="0"/>
          <w:sz w:val="22"/>
          <w:szCs w:val="22"/>
          <w:vertAlign w:val="baseline"/>
          <w:lang w:val="en-US" w:eastAsia="zh-CN" w:bidi="ar"/>
        </w:rPr>
      </w:pPr>
    </w:p>
    <w:p>
      <w:pPr>
        <w:pStyle w:val="42"/>
        <w:keepNext w:val="0"/>
        <w:keepLines w:val="0"/>
        <w:pageBreakBefore w:val="0"/>
        <w:widowControl w:val="0"/>
        <w:kinsoku/>
        <w:wordWrap/>
        <w:overflowPunct/>
        <w:topLinePunct w:val="0"/>
        <w:autoSpaceDE/>
        <w:autoSpaceDN/>
        <w:bidi w:val="0"/>
        <w:adjustRightInd/>
        <w:snapToGrid/>
        <w:textAlignment w:val="auto"/>
        <w:outlineLvl w:val="1"/>
        <w:rPr>
          <w:rFonts w:ascii="Calibri" w:hAnsi="Calibri" w:eastAsia="微软雅黑" w:cs="mn-cs"/>
          <w:color w:val="00B050"/>
          <w:sz w:val="22"/>
          <w:szCs w:val="22"/>
          <w:vertAlign w:val="baseline"/>
        </w:rPr>
      </w:pPr>
      <w:r>
        <w:rPr>
          <w:rFonts w:hint="eastAsia"/>
          <w:highlight w:val="none"/>
          <w:lang w:val="en-US" w:eastAsia="zh-CN"/>
        </w:rPr>
        <w:t>2.3 Tx spurious emissions</w:t>
      </w:r>
      <w:bookmarkEnd w:id="5"/>
      <w:bookmarkEnd w:id="6"/>
      <w:bookmarkEnd w:id="11"/>
      <w:bookmarkStart w:id="12" w:name="OLE_LINK4"/>
    </w:p>
    <w:p>
      <w:pPr>
        <w:pStyle w:val="20"/>
        <w:keepNext w:val="0"/>
        <w:keepLines w:val="0"/>
        <w:widowControl/>
        <w:suppressLineNumbers w:val="0"/>
        <w:bidi w:val="0"/>
        <w:spacing w:before="96" w:beforeAutospacing="0" w:after="0" w:afterAutospacing="0" w:line="288" w:lineRule="auto"/>
        <w:jc w:val="left"/>
        <w:textAlignment w:val="baseline"/>
        <w:rPr>
          <w:sz w:val="22"/>
          <w:szCs w:val="22"/>
        </w:rPr>
      </w:pPr>
      <w:r>
        <w:rPr>
          <w:rFonts w:ascii="Calibri" w:hAnsi="Calibri" w:eastAsia="微软雅黑" w:cs="mn-cs"/>
          <w:color w:val="00B050"/>
          <w:sz w:val="22"/>
          <w:szCs w:val="22"/>
          <w:vertAlign w:val="baseline"/>
        </w:rPr>
        <w:t>FR1/FR2 Tx spurious emissions</w:t>
      </w:r>
    </w:p>
    <w:p>
      <w:pPr>
        <w:keepNext w:val="0"/>
        <w:keepLines w:val="0"/>
        <w:widowControl/>
        <w:suppressLineNumbers w:val="0"/>
        <w:bidi w:val="0"/>
        <w:spacing w:before="86" w:beforeAutospacing="0" w:after="0" w:afterAutospacing="0" w:line="288" w:lineRule="auto"/>
        <w:ind w:left="1166" w:hanging="446"/>
        <w:jc w:val="left"/>
        <w:textAlignment w:val="baseline"/>
        <w:rPr>
          <w:sz w:val="22"/>
          <w:szCs w:val="22"/>
        </w:rPr>
      </w:pPr>
      <w:r>
        <w:rPr>
          <w:rFonts w:ascii="Arial" w:hAnsi="Arial" w:eastAsia="宋体" w:cs="Arial"/>
          <w:kern w:val="0"/>
          <w:sz w:val="22"/>
          <w:szCs w:val="22"/>
          <w:vertAlign w:val="baseline"/>
          <w:lang w:val="en-US" w:eastAsia="zh-CN" w:bidi="ar"/>
        </w:rPr>
        <w:t>–</w:t>
      </w:r>
      <w:r>
        <w:rPr>
          <w:rFonts w:hint="default" w:ascii="Calibri" w:hAnsi="Calibri" w:eastAsia="微软雅黑" w:cs="Calibri"/>
          <w:color w:val="00B050"/>
          <w:kern w:val="0"/>
          <w:sz w:val="22"/>
          <w:szCs w:val="22"/>
          <w:vertAlign w:val="baseline"/>
          <w:lang w:val="en-US" w:eastAsia="zh-CN" w:bidi="ar"/>
        </w:rPr>
        <w:t>Wide-area IAB-MT: The same spurious emissions requirements as base stations (category A and category B)</w:t>
      </w:r>
    </w:p>
    <w:p>
      <w:pPr>
        <w:keepNext w:val="0"/>
        <w:keepLines w:val="0"/>
        <w:widowControl/>
        <w:suppressLineNumbers w:val="0"/>
        <w:bidi w:val="0"/>
        <w:spacing w:before="86" w:beforeAutospacing="0" w:after="0" w:afterAutospacing="0" w:line="288" w:lineRule="auto"/>
        <w:ind w:left="1166" w:hanging="446"/>
        <w:jc w:val="left"/>
        <w:textAlignment w:val="baseline"/>
        <w:rPr>
          <w:sz w:val="22"/>
          <w:szCs w:val="22"/>
        </w:rPr>
      </w:pPr>
      <w:r>
        <w:rPr>
          <w:rFonts w:hint="default" w:ascii="Arial" w:hAnsi="Arial" w:eastAsia="宋体" w:cs="Arial"/>
          <w:kern w:val="0"/>
          <w:sz w:val="22"/>
          <w:szCs w:val="22"/>
          <w:vertAlign w:val="baseline"/>
          <w:lang w:val="en-US" w:eastAsia="zh-CN" w:bidi="ar"/>
        </w:rPr>
        <w:t>–</w:t>
      </w:r>
      <w:r>
        <w:rPr>
          <w:rFonts w:hint="default" w:ascii="Calibri" w:hAnsi="Calibri" w:eastAsia="微软雅黑" w:cs="Calibri"/>
          <w:color w:val="00B050"/>
          <w:kern w:val="0"/>
          <w:sz w:val="22"/>
          <w:szCs w:val="22"/>
          <w:vertAlign w:val="baseline"/>
          <w:lang w:val="en-US" w:eastAsia="zh-CN" w:bidi="ar"/>
        </w:rPr>
        <w:t>Local-area IAB-MT:FFS</w:t>
      </w:r>
    </w:p>
    <w:p>
      <w:pPr>
        <w:pStyle w:val="37"/>
        <w:numPr>
          <w:ilvl w:val="0"/>
          <w:numId w:val="0"/>
        </w:numPr>
        <w:rPr>
          <w:rFonts w:hint="eastAsia"/>
          <w:kern w:val="2"/>
          <w:sz w:val="21"/>
          <w:szCs w:val="24"/>
          <w:lang w:val="en-US" w:eastAsia="zh-CN" w:bidi="ar-SA"/>
        </w:rPr>
      </w:pPr>
      <w:r>
        <w:rPr>
          <w:rFonts w:hint="eastAsia"/>
          <w:kern w:val="2"/>
          <w:sz w:val="21"/>
          <w:szCs w:val="24"/>
          <w:lang w:val="en-US" w:eastAsia="zh-CN" w:bidi="ar-SA"/>
        </w:rPr>
        <w:t>For spurious emission requirements for BS and UE in FR1, indeed it is the same which is based on regulatory requirements, therefore we think for FR1 local IAB-MT, either BS approach or UE side is fine.</w:t>
      </w:r>
    </w:p>
    <w:p>
      <w:pPr>
        <w:pStyle w:val="37"/>
        <w:numPr>
          <w:ilvl w:val="0"/>
          <w:numId w:val="0"/>
        </w:numPr>
        <w:rPr>
          <w:rFonts w:hint="eastAsia" w:eastAsia="宋体"/>
          <w:lang w:val="en-US" w:eastAsia="zh-CN"/>
        </w:rPr>
      </w:pPr>
      <w:r>
        <w:rPr>
          <w:rFonts w:hint="eastAsia"/>
          <w:kern w:val="2"/>
          <w:sz w:val="21"/>
          <w:szCs w:val="24"/>
          <w:lang w:val="en-US" w:eastAsia="zh-CN" w:bidi="ar-SA"/>
        </w:rPr>
        <w:t xml:space="preserve">For spurious emission requirements for BS and UE in FR2, there are slightly different background on that. For FR2 BS, there are Cat B spurious emission requirements defined due to protection on EESS band on 23.6-24GHz and relative stringent requirement is imposed, this protection is also necessary for UE side e.g. from </w:t>
      </w:r>
      <w:r>
        <w:rPr>
          <w:rFonts w:eastAsia="Calibri"/>
          <w:szCs w:val="20"/>
          <w:lang w:val="en-GB" w:eastAsia="de-DE"/>
        </w:rPr>
        <w:t>7.25</w:t>
      </w:r>
      <w:r>
        <w:rPr>
          <w:rFonts w:eastAsia="Calibri"/>
          <w:lang w:val="en-GB" w:eastAsia="de-DE"/>
        </w:rPr>
        <w:t xml:space="preserve"> GHz &lt; </w:t>
      </w:r>
      <w:r>
        <w:rPr>
          <w:rFonts w:eastAsia="Calibri"/>
          <w:i/>
          <w:lang w:val="en-GB" w:eastAsia="de-DE"/>
        </w:rPr>
        <w:t>f</w:t>
      </w:r>
      <w:r>
        <w:rPr>
          <w:rFonts w:eastAsia="Calibri"/>
          <w:lang w:val="en-GB" w:eastAsia="de-DE"/>
        </w:rPr>
        <w:t xml:space="preserve"> </w:t>
      </w:r>
      <w:r>
        <w:rPr>
          <w:rFonts w:eastAsia="Calibri"/>
          <w:lang w:val="en-GB" w:eastAsia="de-DE"/>
        </w:rPr>
        <w:sym w:font="Symbol" w:char="F0A3"/>
      </w:r>
      <w:r>
        <w:rPr>
          <w:rFonts w:eastAsia="Calibri"/>
          <w:lang w:val="en-GB" w:eastAsia="de-DE"/>
        </w:rPr>
        <w:t xml:space="preserve"> F</w:t>
      </w:r>
      <w:r>
        <w:rPr>
          <w:rFonts w:eastAsia="Calibri"/>
          <w:caps/>
          <w:vertAlign w:val="subscript"/>
          <w:lang w:val="en-GB" w:eastAsia="de-DE"/>
        </w:rPr>
        <w:t>upper</w:t>
      </w:r>
      <w:r>
        <w:rPr>
          <w:rFonts w:eastAsia="Calibri"/>
          <w:lang w:val="en-GB" w:eastAsia="de-DE"/>
        </w:rPr>
        <w:t xml:space="preserve"> </w:t>
      </w:r>
      <w:r>
        <w:rPr>
          <w:rFonts w:hint="eastAsia" w:eastAsia="宋体"/>
          <w:lang w:val="en-US" w:eastAsia="zh-CN"/>
        </w:rPr>
        <w:t xml:space="preserve">,then spurious requirement should comply with </w:t>
      </w:r>
      <w:r>
        <w:rPr>
          <w:rFonts w:eastAsia="Calibri"/>
          <w:lang w:val="en-GB" w:eastAsia="de-DE"/>
        </w:rPr>
        <w:t xml:space="preserve">-10 dBm/100 MHz </w:t>
      </w:r>
      <w:r>
        <w:rPr>
          <w:rFonts w:hint="eastAsia" w:eastAsia="宋体"/>
          <w:lang w:val="en-US" w:eastAsia="zh-CN"/>
        </w:rPr>
        <w:t>which is relative relaxed compared with BS side. We think for FR2 IAB-MT, either BS side or UE side spurious emission should be fine</w:t>
      </w:r>
    </w:p>
    <w:p>
      <w:pPr>
        <w:pStyle w:val="37"/>
        <w:numPr>
          <w:ilvl w:val="0"/>
          <w:numId w:val="0"/>
        </w:numPr>
        <w:rPr>
          <w:rFonts w:hint="default" w:eastAsia="宋体"/>
          <w:b/>
          <w:bCs/>
          <w:lang w:val="en-US" w:eastAsia="zh-CN"/>
        </w:rPr>
      </w:pPr>
      <w:r>
        <w:rPr>
          <w:rFonts w:hint="eastAsia" w:eastAsia="宋体"/>
          <w:b/>
          <w:bCs/>
          <w:lang w:val="en-US" w:eastAsia="zh-CN"/>
        </w:rPr>
        <w:t>Proposal 5 : for local-area IAB-MT, either follow BS or UE for IAB-MT is fine.</w:t>
      </w:r>
    </w:p>
    <w:bookmarkEnd w:id="9"/>
    <w:bookmarkEnd w:id="12"/>
    <w:p>
      <w:pPr>
        <w:pStyle w:val="36"/>
        <w:tabs>
          <w:tab w:val="left" w:pos="567"/>
          <w:tab w:val="clear" w:pos="1985"/>
        </w:tabs>
        <w:adjustRightInd w:val="0"/>
        <w:ind w:left="510" w:hanging="510"/>
        <w:rPr>
          <w:rFonts w:hint="eastAsia" w:ascii="Arial" w:hAnsi="Arial"/>
        </w:rPr>
      </w:pPr>
      <w:r>
        <w:rPr>
          <w:rFonts w:ascii="Arial" w:hAnsi="Arial"/>
        </w:rPr>
        <w:t>Conclusions</w:t>
      </w:r>
    </w:p>
    <w:p>
      <w:pPr>
        <w:pStyle w:val="34"/>
        <w:rPr>
          <w:rFonts w:hint="eastAsia"/>
        </w:rPr>
      </w:pPr>
      <w:r>
        <w:t>In this contribution, we share</w:t>
      </w:r>
      <w:r>
        <w:rPr>
          <w:rFonts w:hint="eastAsia"/>
        </w:rPr>
        <w:t>d some further inputs on FR1 IAB coexistence study and proposals are made as following:</w:t>
      </w:r>
    </w:p>
    <w:p>
      <w:pPr>
        <w:pStyle w:val="42"/>
        <w:rPr>
          <w:rFonts w:hint="eastAsia"/>
          <w:b/>
          <w:bCs/>
        </w:rPr>
      </w:pPr>
      <w:r>
        <w:rPr>
          <w:rFonts w:hint="eastAsia"/>
          <w:b/>
          <w:bCs/>
        </w:rPr>
        <w:t xml:space="preserve">Proposal 1: </w:t>
      </w:r>
      <w:r>
        <w:rPr>
          <w:rFonts w:hint="eastAsia"/>
          <w:b/>
          <w:bCs/>
          <w:lang w:val="en-US" w:eastAsia="zh-CN"/>
        </w:rPr>
        <w:t xml:space="preserve">to </w:t>
      </w:r>
      <w:r>
        <w:rPr>
          <w:rFonts w:hint="eastAsia"/>
          <w:b/>
          <w:bCs/>
        </w:rPr>
        <w:t xml:space="preserve">define FR1 IAB MT ACLR as </w:t>
      </w:r>
      <w:r>
        <w:rPr>
          <w:rFonts w:hint="eastAsia"/>
          <w:b/>
          <w:bCs/>
          <w:lang w:val="en-US" w:eastAsia="zh-CN"/>
        </w:rPr>
        <w:t>4</w:t>
      </w:r>
      <w:r>
        <w:rPr>
          <w:rFonts w:hint="eastAsia"/>
          <w:b/>
          <w:bCs/>
          <w:lang w:val="en-US" w:eastAsia="zh-CN"/>
        </w:rPr>
        <w:t>5</w:t>
      </w:r>
      <w:r>
        <w:rPr>
          <w:rFonts w:hint="eastAsia"/>
          <w:b/>
          <w:bCs/>
        </w:rPr>
        <w:t>dBc;</w:t>
      </w:r>
    </w:p>
    <w:p>
      <w:pPr>
        <w:pStyle w:val="42"/>
        <w:rPr>
          <w:rFonts w:hint="default" w:ascii="Calibri" w:hAnsi="Calibri" w:eastAsia="微软雅黑" w:cs="Calibri"/>
          <w:color w:val="00B050"/>
          <w:kern w:val="0"/>
          <w:sz w:val="20"/>
          <w:szCs w:val="20"/>
          <w:vertAlign w:val="baseline"/>
          <w:lang w:val="en-US" w:eastAsia="zh-CN" w:bidi="ar"/>
        </w:rPr>
      </w:pPr>
      <w:r>
        <w:rPr>
          <w:rFonts w:hint="eastAsia"/>
          <w:b/>
          <w:bCs/>
          <w:lang w:val="en-US" w:eastAsia="zh-CN"/>
        </w:rPr>
        <w:t>Proposal 2: for FR2 local area IAB-MT, propose to use local area BS OBUE requirements;</w:t>
      </w:r>
    </w:p>
    <w:p>
      <w:pPr>
        <w:pStyle w:val="42"/>
        <w:rPr>
          <w:rFonts w:hint="default" w:ascii="Calibri" w:hAnsi="Calibri" w:eastAsia="微软雅黑" w:cs="Calibri"/>
          <w:color w:val="00B050"/>
          <w:kern w:val="0"/>
          <w:sz w:val="20"/>
          <w:szCs w:val="20"/>
          <w:vertAlign w:val="baseline"/>
          <w:lang w:val="en-US" w:eastAsia="zh-CN" w:bidi="ar"/>
        </w:rPr>
      </w:pPr>
      <w:r>
        <w:rPr>
          <w:rFonts w:hint="eastAsia"/>
          <w:b/>
          <w:bCs/>
          <w:lang w:val="en-US" w:eastAsia="zh-CN"/>
        </w:rPr>
        <w:t>Proposal 3: for FR1 local area IAB-MT, propose to use local area BS OBUE requirements;</w:t>
      </w:r>
    </w:p>
    <w:p>
      <w:pPr>
        <w:pStyle w:val="42"/>
        <w:rPr>
          <w:rFonts w:hint="default"/>
          <w:b/>
          <w:bCs/>
          <w:lang w:val="en-US" w:eastAsia="zh-CN"/>
        </w:rPr>
      </w:pPr>
      <w:r>
        <w:rPr>
          <w:rFonts w:hint="eastAsia"/>
          <w:b/>
          <w:bCs/>
          <w:lang w:val="en-US" w:eastAsia="zh-CN"/>
        </w:rPr>
        <w:t>Proposal 4: follow BS requirements for FR1 and FR2 F</w:t>
      </w:r>
      <w:r>
        <w:rPr>
          <w:rFonts w:hint="eastAsia"/>
          <w:b/>
          <w:bCs/>
          <w:vertAlign w:val="subscript"/>
          <w:lang w:val="en-US" w:eastAsia="zh-CN"/>
        </w:rPr>
        <w:t>OBUE</w:t>
      </w:r>
      <w:r>
        <w:rPr>
          <w:rFonts w:hint="eastAsia"/>
          <w:b/>
          <w:bCs/>
          <w:lang w:val="en-US" w:eastAsia="zh-CN"/>
        </w:rPr>
        <w:t xml:space="preserve"> boundary.</w:t>
      </w:r>
    </w:p>
    <w:p>
      <w:pPr>
        <w:pStyle w:val="37"/>
        <w:numPr>
          <w:ilvl w:val="0"/>
          <w:numId w:val="0"/>
        </w:numPr>
        <w:rPr>
          <w:rFonts w:hint="eastAsia"/>
          <w:b/>
          <w:bCs/>
        </w:rPr>
      </w:pPr>
      <w:r>
        <w:rPr>
          <w:rFonts w:hint="eastAsia" w:eastAsia="宋体"/>
          <w:b/>
          <w:bCs/>
          <w:lang w:val="en-US" w:eastAsia="zh-CN"/>
        </w:rPr>
        <w:t>Proposal 5 : for local-area IAB-MT, either follow BS or UE for IAB-MT is fine.</w:t>
      </w:r>
    </w:p>
    <w:p>
      <w:pPr>
        <w:pStyle w:val="36"/>
        <w:tabs>
          <w:tab w:val="left" w:pos="567"/>
          <w:tab w:val="clear" w:pos="1985"/>
        </w:tabs>
        <w:adjustRightInd w:val="0"/>
        <w:ind w:left="510" w:hanging="510"/>
        <w:rPr>
          <w:rFonts w:hint="eastAsia"/>
        </w:rPr>
      </w:pPr>
      <w:r>
        <w:t>References</w:t>
      </w:r>
    </w:p>
    <w:p>
      <w:pPr>
        <w:numPr>
          <w:ilvl w:val="0"/>
          <w:numId w:val="2"/>
        </w:numPr>
        <w:rPr>
          <w:rFonts w:hint="eastAsia"/>
          <w:szCs w:val="24"/>
        </w:rPr>
      </w:pPr>
      <w:r>
        <w:rPr>
          <w:rFonts w:hint="eastAsia"/>
          <w:szCs w:val="24"/>
          <w:lang w:val="en-US" w:eastAsia="zh-CN"/>
        </w:rPr>
        <w:t>R4-2009065, W</w:t>
      </w:r>
      <w:r>
        <w:rPr>
          <w:rFonts w:hint="default"/>
          <w:szCs w:val="24"/>
          <w:lang w:val="en-US" w:eastAsia="zh-CN"/>
        </w:rPr>
        <w:t>F on IAB-MT unwanted emissions,Nokia</w:t>
      </w:r>
      <w:r>
        <w:rPr>
          <w:rFonts w:hint="eastAsia"/>
          <w:szCs w:val="24"/>
          <w:lang w:val="en-US" w:eastAsia="zh-CN"/>
        </w:rPr>
        <w:t>, approved.</w:t>
      </w:r>
    </w:p>
    <w:p>
      <w:pPr>
        <w:numPr>
          <w:ilvl w:val="0"/>
          <w:numId w:val="2"/>
        </w:numPr>
        <w:rPr>
          <w:rFonts w:hint="eastAsia"/>
          <w:szCs w:val="24"/>
          <w:lang w:val="en-US" w:eastAsia="zh-CN"/>
        </w:rPr>
      </w:pPr>
      <w:r>
        <w:rPr>
          <w:rFonts w:hint="eastAsia"/>
          <w:szCs w:val="24"/>
          <w:lang w:val="en-US" w:eastAsia="zh-CN"/>
        </w:rPr>
        <w:t>R4-2005490,WF for relative ACLR for IAB-MT, Nokia, approved.</w:t>
      </w:r>
    </w:p>
    <w:p>
      <w:pPr>
        <w:numPr>
          <w:ilvl w:val="0"/>
          <w:numId w:val="0"/>
        </w:numPr>
        <w:rPr>
          <w:rFonts w:hint="eastAsia"/>
          <w:szCs w:val="24"/>
        </w:rPr>
      </w:pPr>
    </w:p>
    <w:sectPr>
      <w:headerReference r:id="rId3" w:type="default"/>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2FF" w:usb1="400004FF" w:usb2="00000000" w:usb3="00000000" w:csb0="2000019F" w:csb1="00000000"/>
  </w:font>
  <w:font w:name="Arial">
    <w:panose1 w:val="020B0604020202020204"/>
    <w:charset w:val="00"/>
    <w:family w:val="swiss"/>
    <w:pitch w:val="default"/>
    <w:sig w:usb0="E0002AFF" w:usb1="C0007843" w:usb2="00000009" w:usb3="00000000" w:csb0="400001FF" w:csb1="FFFF0000"/>
  </w:font>
  <w:font w:name="Times">
    <w:altName w:val="Times New Roman"/>
    <w:panose1 w:val="02020603050405020304"/>
    <w:charset w:val="00"/>
    <w:family w:val="roman"/>
    <w:pitch w:val="default"/>
    <w:sig w:usb0="E0002AFF" w:usb1="C0007841" w:usb2="00000009" w:usb3="00000000" w:csb0="000001FF" w:csb1="00000000"/>
  </w:font>
  <w:font w:name="MS Mincho">
    <w:panose1 w:val="02020609040205080304"/>
    <w:charset w:val="80"/>
    <w:family w:val="modern"/>
    <w:pitch w:val="default"/>
    <w:sig w:usb0="E00002FF" w:usb1="6AC7FDFB" w:usb2="00000012" w:usb3="00000000" w:csb0="4002009F" w:csb1="DFD7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mn-cs">
    <w:altName w:val="Segoe Print"/>
    <w:panose1 w:val="00000000000000000000"/>
    <w:charset w:val="00"/>
    <w:family w:val="auto"/>
    <w:pitch w:val="default"/>
    <w:sig w:usb0="00000000" w:usb1="00000000" w:usb2="00000000" w:usb3="00000000" w:csb0="00040001"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45CE2C5"/>
    <w:multiLevelType w:val="singleLevel"/>
    <w:tmpl w:val="B45CE2C5"/>
    <w:lvl w:ilvl="0" w:tentative="0">
      <w:start w:val="1"/>
      <w:numFmt w:val="decimal"/>
      <w:suff w:val="space"/>
      <w:lvlText w:val="[%1]"/>
      <w:lvlJc w:val="left"/>
    </w:lvl>
  </w:abstractNum>
  <w:abstractNum w:abstractNumId="1">
    <w:nsid w:val="5D177F5E"/>
    <w:multiLevelType w:val="multilevel"/>
    <w:tmpl w:val="5D177F5E"/>
    <w:lvl w:ilvl="0" w:tentative="0">
      <w:start w:val="1"/>
      <w:numFmt w:val="decimal"/>
      <w:pStyle w:val="36"/>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A5E"/>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842"/>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1D79"/>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78C"/>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E00"/>
    <w:rsid w:val="00713E6E"/>
    <w:rsid w:val="00714510"/>
    <w:rsid w:val="00714D2E"/>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826"/>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A4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9CC"/>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712"/>
    <w:rsid w:val="00B76F79"/>
    <w:rsid w:val="00B77058"/>
    <w:rsid w:val="00B776F5"/>
    <w:rsid w:val="00B777BD"/>
    <w:rsid w:val="00B779C6"/>
    <w:rsid w:val="00B8058C"/>
    <w:rsid w:val="00B80953"/>
    <w:rsid w:val="00B80CC3"/>
    <w:rsid w:val="00B8154D"/>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8CD"/>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815"/>
    <w:rsid w:val="00E00E38"/>
    <w:rsid w:val="00E00EB3"/>
    <w:rsid w:val="00E00F93"/>
    <w:rsid w:val="00E0101C"/>
    <w:rsid w:val="00E0102A"/>
    <w:rsid w:val="00E014CF"/>
    <w:rsid w:val="00E0153C"/>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420F"/>
    <w:rsid w:val="00E347AA"/>
    <w:rsid w:val="00E349AC"/>
    <w:rsid w:val="00E34A66"/>
    <w:rsid w:val="00E34B0E"/>
    <w:rsid w:val="00E34BC7"/>
    <w:rsid w:val="00E34C6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564A"/>
    <w:rsid w:val="00EA5A3D"/>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CB1"/>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2543E"/>
    <w:rsid w:val="01033A02"/>
    <w:rsid w:val="01133912"/>
    <w:rsid w:val="01442D89"/>
    <w:rsid w:val="016800B9"/>
    <w:rsid w:val="01821D8F"/>
    <w:rsid w:val="018C2266"/>
    <w:rsid w:val="0195201D"/>
    <w:rsid w:val="01A402CD"/>
    <w:rsid w:val="01A742A2"/>
    <w:rsid w:val="01BE6ACE"/>
    <w:rsid w:val="01C32135"/>
    <w:rsid w:val="01CB7A2C"/>
    <w:rsid w:val="01D518FC"/>
    <w:rsid w:val="01E1598F"/>
    <w:rsid w:val="01F60577"/>
    <w:rsid w:val="021D2604"/>
    <w:rsid w:val="022F66E0"/>
    <w:rsid w:val="0238292F"/>
    <w:rsid w:val="024C13AB"/>
    <w:rsid w:val="028748E0"/>
    <w:rsid w:val="02CE3DD2"/>
    <w:rsid w:val="02DC6BBC"/>
    <w:rsid w:val="02E929C0"/>
    <w:rsid w:val="02F95CD1"/>
    <w:rsid w:val="031E4C95"/>
    <w:rsid w:val="032E4DBB"/>
    <w:rsid w:val="03332CAE"/>
    <w:rsid w:val="03343BC7"/>
    <w:rsid w:val="033F52A3"/>
    <w:rsid w:val="0354325C"/>
    <w:rsid w:val="03651217"/>
    <w:rsid w:val="03687ADD"/>
    <w:rsid w:val="036A231E"/>
    <w:rsid w:val="03774924"/>
    <w:rsid w:val="03822F79"/>
    <w:rsid w:val="039B69FD"/>
    <w:rsid w:val="03C0647A"/>
    <w:rsid w:val="03D4427A"/>
    <w:rsid w:val="041875C1"/>
    <w:rsid w:val="04252816"/>
    <w:rsid w:val="04376B0F"/>
    <w:rsid w:val="0444783F"/>
    <w:rsid w:val="04701281"/>
    <w:rsid w:val="04786ED3"/>
    <w:rsid w:val="048829D4"/>
    <w:rsid w:val="051034CD"/>
    <w:rsid w:val="053E1AC2"/>
    <w:rsid w:val="05583DC1"/>
    <w:rsid w:val="05816D10"/>
    <w:rsid w:val="05930F73"/>
    <w:rsid w:val="05BE42A5"/>
    <w:rsid w:val="05D16BC6"/>
    <w:rsid w:val="05EE3B4E"/>
    <w:rsid w:val="060D249E"/>
    <w:rsid w:val="06474EFD"/>
    <w:rsid w:val="064A35EA"/>
    <w:rsid w:val="064B521E"/>
    <w:rsid w:val="067570AB"/>
    <w:rsid w:val="06836FEC"/>
    <w:rsid w:val="068523FB"/>
    <w:rsid w:val="06A32A23"/>
    <w:rsid w:val="06A55EB9"/>
    <w:rsid w:val="06B548E2"/>
    <w:rsid w:val="06BA7F49"/>
    <w:rsid w:val="06BB4F9D"/>
    <w:rsid w:val="06F30672"/>
    <w:rsid w:val="06F35A7A"/>
    <w:rsid w:val="06F35AB6"/>
    <w:rsid w:val="06F66B05"/>
    <w:rsid w:val="072B7E46"/>
    <w:rsid w:val="072F2139"/>
    <w:rsid w:val="07436058"/>
    <w:rsid w:val="074E566F"/>
    <w:rsid w:val="074F3DF9"/>
    <w:rsid w:val="07537C92"/>
    <w:rsid w:val="075670A4"/>
    <w:rsid w:val="077F542D"/>
    <w:rsid w:val="077F5D16"/>
    <w:rsid w:val="07817B19"/>
    <w:rsid w:val="07916BE4"/>
    <w:rsid w:val="07AA3E51"/>
    <w:rsid w:val="07DD018B"/>
    <w:rsid w:val="07E014BE"/>
    <w:rsid w:val="07E85751"/>
    <w:rsid w:val="0835476E"/>
    <w:rsid w:val="085D6C7E"/>
    <w:rsid w:val="08611CAF"/>
    <w:rsid w:val="0865781A"/>
    <w:rsid w:val="0866133E"/>
    <w:rsid w:val="08813C88"/>
    <w:rsid w:val="089852F1"/>
    <w:rsid w:val="089D6B7D"/>
    <w:rsid w:val="08B21918"/>
    <w:rsid w:val="08B94847"/>
    <w:rsid w:val="08C14001"/>
    <w:rsid w:val="09582472"/>
    <w:rsid w:val="096308E4"/>
    <w:rsid w:val="096F1D52"/>
    <w:rsid w:val="09796C44"/>
    <w:rsid w:val="098344BC"/>
    <w:rsid w:val="09A64698"/>
    <w:rsid w:val="09AC5074"/>
    <w:rsid w:val="09AD07F3"/>
    <w:rsid w:val="09B14A34"/>
    <w:rsid w:val="0A093274"/>
    <w:rsid w:val="0A2705E1"/>
    <w:rsid w:val="0A2A6A0B"/>
    <w:rsid w:val="0A312533"/>
    <w:rsid w:val="0A3A0D5D"/>
    <w:rsid w:val="0A4C7C10"/>
    <w:rsid w:val="0A5056C6"/>
    <w:rsid w:val="0A5060D6"/>
    <w:rsid w:val="0A7200B0"/>
    <w:rsid w:val="0A771CA5"/>
    <w:rsid w:val="0A843B9D"/>
    <w:rsid w:val="0A8621F2"/>
    <w:rsid w:val="0A8F1F9F"/>
    <w:rsid w:val="0A9B6BF5"/>
    <w:rsid w:val="0AB329A9"/>
    <w:rsid w:val="0ACD4245"/>
    <w:rsid w:val="0AF318DF"/>
    <w:rsid w:val="0B110AC0"/>
    <w:rsid w:val="0B1157EF"/>
    <w:rsid w:val="0B1765E0"/>
    <w:rsid w:val="0B1C1D7C"/>
    <w:rsid w:val="0B22066E"/>
    <w:rsid w:val="0B3F2432"/>
    <w:rsid w:val="0B4D5218"/>
    <w:rsid w:val="0B622E13"/>
    <w:rsid w:val="0B717521"/>
    <w:rsid w:val="0B892782"/>
    <w:rsid w:val="0BB2460A"/>
    <w:rsid w:val="0BE17727"/>
    <w:rsid w:val="0BF427F9"/>
    <w:rsid w:val="0C0C632D"/>
    <w:rsid w:val="0C3C0AB0"/>
    <w:rsid w:val="0C6038EF"/>
    <w:rsid w:val="0C654C73"/>
    <w:rsid w:val="0C751214"/>
    <w:rsid w:val="0C780533"/>
    <w:rsid w:val="0C85742B"/>
    <w:rsid w:val="0C873353"/>
    <w:rsid w:val="0C8B4B61"/>
    <w:rsid w:val="0C95762C"/>
    <w:rsid w:val="0CA92BAC"/>
    <w:rsid w:val="0CB90F2E"/>
    <w:rsid w:val="0D04575D"/>
    <w:rsid w:val="0D0612B8"/>
    <w:rsid w:val="0D066A9C"/>
    <w:rsid w:val="0D0714BC"/>
    <w:rsid w:val="0D1A52C8"/>
    <w:rsid w:val="0D2767B5"/>
    <w:rsid w:val="0D5800C7"/>
    <w:rsid w:val="0D6A353C"/>
    <w:rsid w:val="0DA060E8"/>
    <w:rsid w:val="0DCE36F3"/>
    <w:rsid w:val="0DD621E4"/>
    <w:rsid w:val="0DDE1317"/>
    <w:rsid w:val="0E0313B1"/>
    <w:rsid w:val="0E0D1A47"/>
    <w:rsid w:val="0E3217E8"/>
    <w:rsid w:val="0E5E2B07"/>
    <w:rsid w:val="0E771E51"/>
    <w:rsid w:val="0E7E0F44"/>
    <w:rsid w:val="0E8118C0"/>
    <w:rsid w:val="0EB34961"/>
    <w:rsid w:val="0EC468A2"/>
    <w:rsid w:val="0ECE7C5F"/>
    <w:rsid w:val="0EF75D05"/>
    <w:rsid w:val="0F12247A"/>
    <w:rsid w:val="0F1D0ECD"/>
    <w:rsid w:val="0F364BC2"/>
    <w:rsid w:val="0F3A630E"/>
    <w:rsid w:val="0F3B1C05"/>
    <w:rsid w:val="0F455F85"/>
    <w:rsid w:val="0F49564D"/>
    <w:rsid w:val="0F4D1918"/>
    <w:rsid w:val="0F5075AE"/>
    <w:rsid w:val="0F521719"/>
    <w:rsid w:val="0F584757"/>
    <w:rsid w:val="0F80243B"/>
    <w:rsid w:val="0FAD0019"/>
    <w:rsid w:val="0FAD3299"/>
    <w:rsid w:val="0FB31343"/>
    <w:rsid w:val="0FC12836"/>
    <w:rsid w:val="0FD95333"/>
    <w:rsid w:val="0FDC6575"/>
    <w:rsid w:val="10045EE6"/>
    <w:rsid w:val="103A7991"/>
    <w:rsid w:val="10462479"/>
    <w:rsid w:val="104B2D15"/>
    <w:rsid w:val="10674DB0"/>
    <w:rsid w:val="107374A2"/>
    <w:rsid w:val="10886883"/>
    <w:rsid w:val="108A2129"/>
    <w:rsid w:val="10924B2D"/>
    <w:rsid w:val="10953B42"/>
    <w:rsid w:val="10CC5735"/>
    <w:rsid w:val="10FA45D2"/>
    <w:rsid w:val="11024527"/>
    <w:rsid w:val="110A4489"/>
    <w:rsid w:val="111A28E5"/>
    <w:rsid w:val="112F54D2"/>
    <w:rsid w:val="1133321C"/>
    <w:rsid w:val="11576536"/>
    <w:rsid w:val="117824F0"/>
    <w:rsid w:val="117E2370"/>
    <w:rsid w:val="11B66269"/>
    <w:rsid w:val="11BA0839"/>
    <w:rsid w:val="11F267E8"/>
    <w:rsid w:val="1210456D"/>
    <w:rsid w:val="121729B6"/>
    <w:rsid w:val="122C6138"/>
    <w:rsid w:val="122C6E5E"/>
    <w:rsid w:val="125A02CC"/>
    <w:rsid w:val="12845278"/>
    <w:rsid w:val="128E70AD"/>
    <w:rsid w:val="12B1068C"/>
    <w:rsid w:val="12C77089"/>
    <w:rsid w:val="12DD694C"/>
    <w:rsid w:val="12F538D3"/>
    <w:rsid w:val="12F85F0D"/>
    <w:rsid w:val="131046DE"/>
    <w:rsid w:val="131B2229"/>
    <w:rsid w:val="131D12BF"/>
    <w:rsid w:val="132625C2"/>
    <w:rsid w:val="132A7435"/>
    <w:rsid w:val="137F1B10"/>
    <w:rsid w:val="1382164E"/>
    <w:rsid w:val="13AB3B97"/>
    <w:rsid w:val="13B66BD2"/>
    <w:rsid w:val="13BF66BA"/>
    <w:rsid w:val="13CD1105"/>
    <w:rsid w:val="13DC36E2"/>
    <w:rsid w:val="144C6544"/>
    <w:rsid w:val="14812D74"/>
    <w:rsid w:val="14836C15"/>
    <w:rsid w:val="14862300"/>
    <w:rsid w:val="14A82A63"/>
    <w:rsid w:val="14AC358C"/>
    <w:rsid w:val="14B76730"/>
    <w:rsid w:val="14DE753E"/>
    <w:rsid w:val="151B0462"/>
    <w:rsid w:val="151C45D8"/>
    <w:rsid w:val="15290336"/>
    <w:rsid w:val="155B1745"/>
    <w:rsid w:val="155F651D"/>
    <w:rsid w:val="15655F19"/>
    <w:rsid w:val="157348EB"/>
    <w:rsid w:val="15787FE5"/>
    <w:rsid w:val="157E21FE"/>
    <w:rsid w:val="15AA7A19"/>
    <w:rsid w:val="15AC5259"/>
    <w:rsid w:val="15B06B12"/>
    <w:rsid w:val="15BE3D9D"/>
    <w:rsid w:val="15D4474D"/>
    <w:rsid w:val="15D7597F"/>
    <w:rsid w:val="15F35485"/>
    <w:rsid w:val="161C3234"/>
    <w:rsid w:val="1641433F"/>
    <w:rsid w:val="165C4863"/>
    <w:rsid w:val="1663476A"/>
    <w:rsid w:val="166C0D1B"/>
    <w:rsid w:val="167344C7"/>
    <w:rsid w:val="16794785"/>
    <w:rsid w:val="16A65B92"/>
    <w:rsid w:val="16AD0A57"/>
    <w:rsid w:val="16BA18A0"/>
    <w:rsid w:val="16BC2A78"/>
    <w:rsid w:val="16C41FCF"/>
    <w:rsid w:val="16E7220A"/>
    <w:rsid w:val="170133DA"/>
    <w:rsid w:val="170259E1"/>
    <w:rsid w:val="170353FD"/>
    <w:rsid w:val="171053FC"/>
    <w:rsid w:val="17382580"/>
    <w:rsid w:val="175E4288"/>
    <w:rsid w:val="17844C56"/>
    <w:rsid w:val="17A30F12"/>
    <w:rsid w:val="17BA48D6"/>
    <w:rsid w:val="17D21E0A"/>
    <w:rsid w:val="17D77CA7"/>
    <w:rsid w:val="17DD34AB"/>
    <w:rsid w:val="17FE0B0A"/>
    <w:rsid w:val="17FE0C9F"/>
    <w:rsid w:val="17FF3C9D"/>
    <w:rsid w:val="18235E85"/>
    <w:rsid w:val="184E443E"/>
    <w:rsid w:val="187640ED"/>
    <w:rsid w:val="18804AA7"/>
    <w:rsid w:val="18A16B9A"/>
    <w:rsid w:val="18B417E1"/>
    <w:rsid w:val="18E872D7"/>
    <w:rsid w:val="18F931E6"/>
    <w:rsid w:val="18FA042B"/>
    <w:rsid w:val="18FE4771"/>
    <w:rsid w:val="19046384"/>
    <w:rsid w:val="19200B97"/>
    <w:rsid w:val="19267DCF"/>
    <w:rsid w:val="192A5704"/>
    <w:rsid w:val="19537076"/>
    <w:rsid w:val="19564B19"/>
    <w:rsid w:val="195F336A"/>
    <w:rsid w:val="196A0432"/>
    <w:rsid w:val="19720BF1"/>
    <w:rsid w:val="198374F4"/>
    <w:rsid w:val="1989194D"/>
    <w:rsid w:val="19A7296F"/>
    <w:rsid w:val="19B94DE5"/>
    <w:rsid w:val="19BB7983"/>
    <w:rsid w:val="19D76F77"/>
    <w:rsid w:val="19DE7440"/>
    <w:rsid w:val="1A0324E6"/>
    <w:rsid w:val="1A5F7253"/>
    <w:rsid w:val="1A725418"/>
    <w:rsid w:val="1A7A2EF9"/>
    <w:rsid w:val="1A7F4EDC"/>
    <w:rsid w:val="1A960E81"/>
    <w:rsid w:val="1A9A0C93"/>
    <w:rsid w:val="1AB359A1"/>
    <w:rsid w:val="1ABD31B9"/>
    <w:rsid w:val="1ACE2A77"/>
    <w:rsid w:val="1ADA6731"/>
    <w:rsid w:val="1ADC2627"/>
    <w:rsid w:val="1AF34AE5"/>
    <w:rsid w:val="1AF84C8C"/>
    <w:rsid w:val="1AFE2079"/>
    <w:rsid w:val="1B00502A"/>
    <w:rsid w:val="1B0B3B20"/>
    <w:rsid w:val="1B1613A0"/>
    <w:rsid w:val="1B2A7E36"/>
    <w:rsid w:val="1B324397"/>
    <w:rsid w:val="1B372EB9"/>
    <w:rsid w:val="1B5D3106"/>
    <w:rsid w:val="1B7906CE"/>
    <w:rsid w:val="1B7D07F3"/>
    <w:rsid w:val="1B831B2B"/>
    <w:rsid w:val="1BA57F07"/>
    <w:rsid w:val="1BB848C7"/>
    <w:rsid w:val="1BD91032"/>
    <w:rsid w:val="1C0D60C9"/>
    <w:rsid w:val="1C33796F"/>
    <w:rsid w:val="1C441419"/>
    <w:rsid w:val="1C561E66"/>
    <w:rsid w:val="1C6D4144"/>
    <w:rsid w:val="1C793EB9"/>
    <w:rsid w:val="1C9A166E"/>
    <w:rsid w:val="1CB702E9"/>
    <w:rsid w:val="1CBE5026"/>
    <w:rsid w:val="1CF333A5"/>
    <w:rsid w:val="1D0B731D"/>
    <w:rsid w:val="1D2054C4"/>
    <w:rsid w:val="1D563E2F"/>
    <w:rsid w:val="1D6F79AF"/>
    <w:rsid w:val="1D8F5B72"/>
    <w:rsid w:val="1D8F6826"/>
    <w:rsid w:val="1D90700F"/>
    <w:rsid w:val="1D9C5DA0"/>
    <w:rsid w:val="1D9F462B"/>
    <w:rsid w:val="1DA265B5"/>
    <w:rsid w:val="1DEC45ED"/>
    <w:rsid w:val="1E224747"/>
    <w:rsid w:val="1E304B88"/>
    <w:rsid w:val="1E3E02E7"/>
    <w:rsid w:val="1E680B85"/>
    <w:rsid w:val="1E9D55A8"/>
    <w:rsid w:val="1EA13E87"/>
    <w:rsid w:val="1EC11B39"/>
    <w:rsid w:val="1ED94E25"/>
    <w:rsid w:val="1EDB6C5F"/>
    <w:rsid w:val="1EE6740D"/>
    <w:rsid w:val="1F141EF2"/>
    <w:rsid w:val="1F3C6AF7"/>
    <w:rsid w:val="1F405E44"/>
    <w:rsid w:val="1F4E681F"/>
    <w:rsid w:val="1F5324C1"/>
    <w:rsid w:val="1F675E66"/>
    <w:rsid w:val="1F6833F6"/>
    <w:rsid w:val="1F7959F4"/>
    <w:rsid w:val="1F7C19E4"/>
    <w:rsid w:val="1F83562C"/>
    <w:rsid w:val="1F865F2E"/>
    <w:rsid w:val="1FBD7AAE"/>
    <w:rsid w:val="1FBE77B2"/>
    <w:rsid w:val="1FC26AB9"/>
    <w:rsid w:val="1FD12C50"/>
    <w:rsid w:val="1FE91483"/>
    <w:rsid w:val="1FED166B"/>
    <w:rsid w:val="2000119F"/>
    <w:rsid w:val="201359DF"/>
    <w:rsid w:val="201C304F"/>
    <w:rsid w:val="203B1416"/>
    <w:rsid w:val="203C2005"/>
    <w:rsid w:val="204D7AED"/>
    <w:rsid w:val="204F595B"/>
    <w:rsid w:val="206301A7"/>
    <w:rsid w:val="20642E89"/>
    <w:rsid w:val="206F7CD5"/>
    <w:rsid w:val="20934FE0"/>
    <w:rsid w:val="209A17A4"/>
    <w:rsid w:val="20A70ABE"/>
    <w:rsid w:val="20B836F9"/>
    <w:rsid w:val="20C261C8"/>
    <w:rsid w:val="20C96FD1"/>
    <w:rsid w:val="20D562D7"/>
    <w:rsid w:val="20E35BDE"/>
    <w:rsid w:val="20E9348D"/>
    <w:rsid w:val="210D2CDA"/>
    <w:rsid w:val="212F6A59"/>
    <w:rsid w:val="21306305"/>
    <w:rsid w:val="213D54AD"/>
    <w:rsid w:val="214169BB"/>
    <w:rsid w:val="214F6387"/>
    <w:rsid w:val="217C7971"/>
    <w:rsid w:val="217D44BC"/>
    <w:rsid w:val="21997056"/>
    <w:rsid w:val="219D3F2A"/>
    <w:rsid w:val="21AB77F7"/>
    <w:rsid w:val="21BF03BC"/>
    <w:rsid w:val="21D06D34"/>
    <w:rsid w:val="2209399D"/>
    <w:rsid w:val="22101F8E"/>
    <w:rsid w:val="2225227E"/>
    <w:rsid w:val="224E74D0"/>
    <w:rsid w:val="228A008B"/>
    <w:rsid w:val="229A7E25"/>
    <w:rsid w:val="22B059F5"/>
    <w:rsid w:val="22BD504B"/>
    <w:rsid w:val="22F017B2"/>
    <w:rsid w:val="230B07F6"/>
    <w:rsid w:val="23143B37"/>
    <w:rsid w:val="231637F9"/>
    <w:rsid w:val="23230E78"/>
    <w:rsid w:val="233027B0"/>
    <w:rsid w:val="23415924"/>
    <w:rsid w:val="235924CA"/>
    <w:rsid w:val="237B7D6C"/>
    <w:rsid w:val="238755B6"/>
    <w:rsid w:val="239130F2"/>
    <w:rsid w:val="239B728F"/>
    <w:rsid w:val="23BD6F6C"/>
    <w:rsid w:val="23C80F4A"/>
    <w:rsid w:val="23D33566"/>
    <w:rsid w:val="23D9762E"/>
    <w:rsid w:val="24137B5B"/>
    <w:rsid w:val="24176341"/>
    <w:rsid w:val="24211333"/>
    <w:rsid w:val="242461D7"/>
    <w:rsid w:val="242C04D9"/>
    <w:rsid w:val="242E2FF6"/>
    <w:rsid w:val="242E7ECB"/>
    <w:rsid w:val="244F2484"/>
    <w:rsid w:val="24574CEB"/>
    <w:rsid w:val="245D41D2"/>
    <w:rsid w:val="24667266"/>
    <w:rsid w:val="24731A96"/>
    <w:rsid w:val="247A5C3A"/>
    <w:rsid w:val="248907B2"/>
    <w:rsid w:val="249A5E20"/>
    <w:rsid w:val="249C2676"/>
    <w:rsid w:val="249C6208"/>
    <w:rsid w:val="24BD38BA"/>
    <w:rsid w:val="24BF3495"/>
    <w:rsid w:val="252053F9"/>
    <w:rsid w:val="25467DBB"/>
    <w:rsid w:val="25473E3C"/>
    <w:rsid w:val="254B0DE2"/>
    <w:rsid w:val="256343AC"/>
    <w:rsid w:val="257F18B5"/>
    <w:rsid w:val="25805FF5"/>
    <w:rsid w:val="258F15BB"/>
    <w:rsid w:val="259231BD"/>
    <w:rsid w:val="25A77DD4"/>
    <w:rsid w:val="25FD5078"/>
    <w:rsid w:val="260B255C"/>
    <w:rsid w:val="26217848"/>
    <w:rsid w:val="262E20E8"/>
    <w:rsid w:val="263C3F24"/>
    <w:rsid w:val="2640682F"/>
    <w:rsid w:val="26510DB8"/>
    <w:rsid w:val="26667EB2"/>
    <w:rsid w:val="266B1FB8"/>
    <w:rsid w:val="267E518B"/>
    <w:rsid w:val="26872779"/>
    <w:rsid w:val="269B3F13"/>
    <w:rsid w:val="26A4288C"/>
    <w:rsid w:val="26C36DE5"/>
    <w:rsid w:val="26F40E3F"/>
    <w:rsid w:val="26F40EBD"/>
    <w:rsid w:val="272A3F42"/>
    <w:rsid w:val="274A7B1A"/>
    <w:rsid w:val="275439E1"/>
    <w:rsid w:val="276320D7"/>
    <w:rsid w:val="279408D2"/>
    <w:rsid w:val="27B02558"/>
    <w:rsid w:val="27B91021"/>
    <w:rsid w:val="27C06D17"/>
    <w:rsid w:val="280008FF"/>
    <w:rsid w:val="28050D91"/>
    <w:rsid w:val="28255041"/>
    <w:rsid w:val="283A1E3E"/>
    <w:rsid w:val="284543A1"/>
    <w:rsid w:val="28553E1D"/>
    <w:rsid w:val="28821314"/>
    <w:rsid w:val="28AD2029"/>
    <w:rsid w:val="28DB0A30"/>
    <w:rsid w:val="28EC1432"/>
    <w:rsid w:val="28F95F71"/>
    <w:rsid w:val="291712DF"/>
    <w:rsid w:val="29192BE8"/>
    <w:rsid w:val="292A375F"/>
    <w:rsid w:val="29316984"/>
    <w:rsid w:val="2938092A"/>
    <w:rsid w:val="293966D9"/>
    <w:rsid w:val="2946144E"/>
    <w:rsid w:val="294A5BC8"/>
    <w:rsid w:val="29981CF5"/>
    <w:rsid w:val="29A4634A"/>
    <w:rsid w:val="29A84DD1"/>
    <w:rsid w:val="29C810FE"/>
    <w:rsid w:val="29EB2636"/>
    <w:rsid w:val="29F26903"/>
    <w:rsid w:val="2A3B063B"/>
    <w:rsid w:val="2A49761F"/>
    <w:rsid w:val="2A630308"/>
    <w:rsid w:val="2A676AD0"/>
    <w:rsid w:val="2A687AA6"/>
    <w:rsid w:val="2A770CC7"/>
    <w:rsid w:val="2A890979"/>
    <w:rsid w:val="2A9A66D4"/>
    <w:rsid w:val="2AAC36BD"/>
    <w:rsid w:val="2AB04937"/>
    <w:rsid w:val="2ACF5AEC"/>
    <w:rsid w:val="2AD62AB0"/>
    <w:rsid w:val="2ADE1583"/>
    <w:rsid w:val="2AE70523"/>
    <w:rsid w:val="2B0536BE"/>
    <w:rsid w:val="2B2D1363"/>
    <w:rsid w:val="2B42025A"/>
    <w:rsid w:val="2B450516"/>
    <w:rsid w:val="2B592A46"/>
    <w:rsid w:val="2B686C09"/>
    <w:rsid w:val="2B8B34AB"/>
    <w:rsid w:val="2B914C5E"/>
    <w:rsid w:val="2BB44220"/>
    <w:rsid w:val="2BB61EA7"/>
    <w:rsid w:val="2BBA6EF5"/>
    <w:rsid w:val="2BC03979"/>
    <w:rsid w:val="2BEC4F7F"/>
    <w:rsid w:val="2C11705A"/>
    <w:rsid w:val="2C1216FD"/>
    <w:rsid w:val="2C1F2C4F"/>
    <w:rsid w:val="2C5C2032"/>
    <w:rsid w:val="2C72088D"/>
    <w:rsid w:val="2C865A05"/>
    <w:rsid w:val="2C8B0557"/>
    <w:rsid w:val="2CDC7091"/>
    <w:rsid w:val="2D0E231B"/>
    <w:rsid w:val="2D1A1A6B"/>
    <w:rsid w:val="2D1A4915"/>
    <w:rsid w:val="2D400A9F"/>
    <w:rsid w:val="2DBF0C3E"/>
    <w:rsid w:val="2DBF1601"/>
    <w:rsid w:val="2DBF4C3A"/>
    <w:rsid w:val="2DF04CFF"/>
    <w:rsid w:val="2DF6091F"/>
    <w:rsid w:val="2DF77C3F"/>
    <w:rsid w:val="2DFA6574"/>
    <w:rsid w:val="2E040A80"/>
    <w:rsid w:val="2E095C19"/>
    <w:rsid w:val="2E0F3A78"/>
    <w:rsid w:val="2E1530A6"/>
    <w:rsid w:val="2E190FE7"/>
    <w:rsid w:val="2E2630D7"/>
    <w:rsid w:val="2E2806DD"/>
    <w:rsid w:val="2E2A4425"/>
    <w:rsid w:val="2E705752"/>
    <w:rsid w:val="2EA26ABE"/>
    <w:rsid w:val="2EB61295"/>
    <w:rsid w:val="2EEA307E"/>
    <w:rsid w:val="2EF53C20"/>
    <w:rsid w:val="2EFC5DDD"/>
    <w:rsid w:val="2F002CCF"/>
    <w:rsid w:val="2F0160A3"/>
    <w:rsid w:val="2F2960CC"/>
    <w:rsid w:val="2F2F3D52"/>
    <w:rsid w:val="2F3B7B8B"/>
    <w:rsid w:val="2F805714"/>
    <w:rsid w:val="2FA21231"/>
    <w:rsid w:val="2FAD4759"/>
    <w:rsid w:val="2FCA0967"/>
    <w:rsid w:val="2FF117AD"/>
    <w:rsid w:val="2FF95633"/>
    <w:rsid w:val="300F7F13"/>
    <w:rsid w:val="301E3C00"/>
    <w:rsid w:val="30500A5C"/>
    <w:rsid w:val="30752E77"/>
    <w:rsid w:val="3090288F"/>
    <w:rsid w:val="309B0CFB"/>
    <w:rsid w:val="309E4272"/>
    <w:rsid w:val="30DC45E8"/>
    <w:rsid w:val="30DD6027"/>
    <w:rsid w:val="30DE16AB"/>
    <w:rsid w:val="30F44A95"/>
    <w:rsid w:val="30FA21D8"/>
    <w:rsid w:val="311D5B14"/>
    <w:rsid w:val="31647576"/>
    <w:rsid w:val="31665E5D"/>
    <w:rsid w:val="316D6950"/>
    <w:rsid w:val="31822EAF"/>
    <w:rsid w:val="31A53A0B"/>
    <w:rsid w:val="31B23BA8"/>
    <w:rsid w:val="31CA5CF8"/>
    <w:rsid w:val="31CB26CD"/>
    <w:rsid w:val="31D06A52"/>
    <w:rsid w:val="31F20023"/>
    <w:rsid w:val="31FB60C5"/>
    <w:rsid w:val="32226597"/>
    <w:rsid w:val="324968A9"/>
    <w:rsid w:val="324C02C6"/>
    <w:rsid w:val="327E6AD8"/>
    <w:rsid w:val="32946A84"/>
    <w:rsid w:val="32AC53A8"/>
    <w:rsid w:val="32BC6631"/>
    <w:rsid w:val="32D14A7F"/>
    <w:rsid w:val="32F86450"/>
    <w:rsid w:val="330244A4"/>
    <w:rsid w:val="331C390F"/>
    <w:rsid w:val="33610DDA"/>
    <w:rsid w:val="33767D1F"/>
    <w:rsid w:val="337F446B"/>
    <w:rsid w:val="33A156DE"/>
    <w:rsid w:val="33B70359"/>
    <w:rsid w:val="33BA1B32"/>
    <w:rsid w:val="33E20DF0"/>
    <w:rsid w:val="34087429"/>
    <w:rsid w:val="341315B5"/>
    <w:rsid w:val="34147AA7"/>
    <w:rsid w:val="342D3CE2"/>
    <w:rsid w:val="34347DC5"/>
    <w:rsid w:val="34463967"/>
    <w:rsid w:val="345543D1"/>
    <w:rsid w:val="345A7367"/>
    <w:rsid w:val="345D2CD0"/>
    <w:rsid w:val="346C0AEA"/>
    <w:rsid w:val="347F540F"/>
    <w:rsid w:val="349A0B7D"/>
    <w:rsid w:val="34B51A96"/>
    <w:rsid w:val="34DB0CAC"/>
    <w:rsid w:val="34E972FC"/>
    <w:rsid w:val="34FF2166"/>
    <w:rsid w:val="35333FF2"/>
    <w:rsid w:val="353E791E"/>
    <w:rsid w:val="354C7B38"/>
    <w:rsid w:val="354F28B8"/>
    <w:rsid w:val="355D687A"/>
    <w:rsid w:val="35744059"/>
    <w:rsid w:val="35771AC2"/>
    <w:rsid w:val="35A0338E"/>
    <w:rsid w:val="35A31A0A"/>
    <w:rsid w:val="35AB5D7D"/>
    <w:rsid w:val="35C154C0"/>
    <w:rsid w:val="35C7584B"/>
    <w:rsid w:val="35DD2AEE"/>
    <w:rsid w:val="35EA6509"/>
    <w:rsid w:val="35F44E5C"/>
    <w:rsid w:val="35F45994"/>
    <w:rsid w:val="3602050E"/>
    <w:rsid w:val="36101A49"/>
    <w:rsid w:val="36265F04"/>
    <w:rsid w:val="363F4D43"/>
    <w:rsid w:val="36627C0A"/>
    <w:rsid w:val="36693B36"/>
    <w:rsid w:val="366B0AAA"/>
    <w:rsid w:val="366D18B9"/>
    <w:rsid w:val="36752210"/>
    <w:rsid w:val="36922B55"/>
    <w:rsid w:val="36991125"/>
    <w:rsid w:val="36B121C7"/>
    <w:rsid w:val="36D27C18"/>
    <w:rsid w:val="36D512A9"/>
    <w:rsid w:val="36E71974"/>
    <w:rsid w:val="36F414F3"/>
    <w:rsid w:val="370974B4"/>
    <w:rsid w:val="371E6151"/>
    <w:rsid w:val="37277663"/>
    <w:rsid w:val="37357964"/>
    <w:rsid w:val="37446333"/>
    <w:rsid w:val="37446A77"/>
    <w:rsid w:val="378A731A"/>
    <w:rsid w:val="378E3617"/>
    <w:rsid w:val="37931A90"/>
    <w:rsid w:val="37A4082B"/>
    <w:rsid w:val="37A4627C"/>
    <w:rsid w:val="37A530D5"/>
    <w:rsid w:val="37B5292C"/>
    <w:rsid w:val="37BA6351"/>
    <w:rsid w:val="37C93B72"/>
    <w:rsid w:val="37F311D3"/>
    <w:rsid w:val="37F7242F"/>
    <w:rsid w:val="380579FE"/>
    <w:rsid w:val="382150C9"/>
    <w:rsid w:val="38284CDE"/>
    <w:rsid w:val="382F19E6"/>
    <w:rsid w:val="384C2D57"/>
    <w:rsid w:val="38894DA5"/>
    <w:rsid w:val="38981AB5"/>
    <w:rsid w:val="38A40C18"/>
    <w:rsid w:val="38AB306B"/>
    <w:rsid w:val="38BF2270"/>
    <w:rsid w:val="38C33701"/>
    <w:rsid w:val="38C43916"/>
    <w:rsid w:val="38D504F4"/>
    <w:rsid w:val="38D95A84"/>
    <w:rsid w:val="38E11AA1"/>
    <w:rsid w:val="38E46191"/>
    <w:rsid w:val="393544DD"/>
    <w:rsid w:val="393962EC"/>
    <w:rsid w:val="394935B8"/>
    <w:rsid w:val="394C557A"/>
    <w:rsid w:val="3952190F"/>
    <w:rsid w:val="395753F2"/>
    <w:rsid w:val="39834074"/>
    <w:rsid w:val="39885108"/>
    <w:rsid w:val="399602F5"/>
    <w:rsid w:val="399B5B0D"/>
    <w:rsid w:val="39BB78F7"/>
    <w:rsid w:val="39C46549"/>
    <w:rsid w:val="39CA1A60"/>
    <w:rsid w:val="39D3749A"/>
    <w:rsid w:val="39DD49C2"/>
    <w:rsid w:val="39DD4ACE"/>
    <w:rsid w:val="39EC7454"/>
    <w:rsid w:val="3A47365F"/>
    <w:rsid w:val="3A796E46"/>
    <w:rsid w:val="3A9A224E"/>
    <w:rsid w:val="3A9D2551"/>
    <w:rsid w:val="3AA97F70"/>
    <w:rsid w:val="3ABF42F5"/>
    <w:rsid w:val="3AFD37D0"/>
    <w:rsid w:val="3B016EE9"/>
    <w:rsid w:val="3B0B115C"/>
    <w:rsid w:val="3B3A132E"/>
    <w:rsid w:val="3B456D7F"/>
    <w:rsid w:val="3B5E261D"/>
    <w:rsid w:val="3B616FBE"/>
    <w:rsid w:val="3B6F5B73"/>
    <w:rsid w:val="3B7B1D0B"/>
    <w:rsid w:val="3B873119"/>
    <w:rsid w:val="3BA35FC1"/>
    <w:rsid w:val="3BA566FD"/>
    <w:rsid w:val="3BB47D9F"/>
    <w:rsid w:val="3BF10AAD"/>
    <w:rsid w:val="3C070D59"/>
    <w:rsid w:val="3C0F1954"/>
    <w:rsid w:val="3C1E391D"/>
    <w:rsid w:val="3C294498"/>
    <w:rsid w:val="3C333216"/>
    <w:rsid w:val="3C36018F"/>
    <w:rsid w:val="3C4F7D80"/>
    <w:rsid w:val="3C64689F"/>
    <w:rsid w:val="3C740DAA"/>
    <w:rsid w:val="3C7E65EC"/>
    <w:rsid w:val="3C812838"/>
    <w:rsid w:val="3C9E64A0"/>
    <w:rsid w:val="3CAA38C3"/>
    <w:rsid w:val="3CB36CF4"/>
    <w:rsid w:val="3CBA78F5"/>
    <w:rsid w:val="3CC26B63"/>
    <w:rsid w:val="3CD71E34"/>
    <w:rsid w:val="3CE54B9F"/>
    <w:rsid w:val="3D272F24"/>
    <w:rsid w:val="3D58163A"/>
    <w:rsid w:val="3D5A05E2"/>
    <w:rsid w:val="3D5C63D4"/>
    <w:rsid w:val="3D7618FA"/>
    <w:rsid w:val="3D791797"/>
    <w:rsid w:val="3D8522AA"/>
    <w:rsid w:val="3D9A0655"/>
    <w:rsid w:val="3DE548AC"/>
    <w:rsid w:val="3DE653F8"/>
    <w:rsid w:val="3DE72673"/>
    <w:rsid w:val="3DEB1255"/>
    <w:rsid w:val="3E0F25EA"/>
    <w:rsid w:val="3E146F59"/>
    <w:rsid w:val="3E237BCC"/>
    <w:rsid w:val="3E3419DC"/>
    <w:rsid w:val="3E623E46"/>
    <w:rsid w:val="3E7A1C88"/>
    <w:rsid w:val="3E8B095A"/>
    <w:rsid w:val="3E8E6C82"/>
    <w:rsid w:val="3E943FDD"/>
    <w:rsid w:val="3EAC3BDD"/>
    <w:rsid w:val="3EB767A1"/>
    <w:rsid w:val="3ECF0F50"/>
    <w:rsid w:val="3ECF234A"/>
    <w:rsid w:val="3ED671CD"/>
    <w:rsid w:val="3EE14A57"/>
    <w:rsid w:val="3EE21263"/>
    <w:rsid w:val="3F144192"/>
    <w:rsid w:val="3F952814"/>
    <w:rsid w:val="3FA41C63"/>
    <w:rsid w:val="3FAB3D87"/>
    <w:rsid w:val="3FAB41A2"/>
    <w:rsid w:val="3FAE47F6"/>
    <w:rsid w:val="40023065"/>
    <w:rsid w:val="400A1CFC"/>
    <w:rsid w:val="40400533"/>
    <w:rsid w:val="406D461C"/>
    <w:rsid w:val="406F7D87"/>
    <w:rsid w:val="40825FDB"/>
    <w:rsid w:val="40907287"/>
    <w:rsid w:val="40BD153A"/>
    <w:rsid w:val="40CD7BD8"/>
    <w:rsid w:val="40D07371"/>
    <w:rsid w:val="40F1013C"/>
    <w:rsid w:val="412506DF"/>
    <w:rsid w:val="414F41D7"/>
    <w:rsid w:val="414F7876"/>
    <w:rsid w:val="415A0FEF"/>
    <w:rsid w:val="416C15E7"/>
    <w:rsid w:val="416E039C"/>
    <w:rsid w:val="41800377"/>
    <w:rsid w:val="418B26ED"/>
    <w:rsid w:val="41A63744"/>
    <w:rsid w:val="41AC6BA3"/>
    <w:rsid w:val="41AD5F07"/>
    <w:rsid w:val="41B730A3"/>
    <w:rsid w:val="41B737E0"/>
    <w:rsid w:val="41B77B6D"/>
    <w:rsid w:val="41D1580B"/>
    <w:rsid w:val="41DC5EDF"/>
    <w:rsid w:val="41F24303"/>
    <w:rsid w:val="41F52080"/>
    <w:rsid w:val="420850A2"/>
    <w:rsid w:val="422E207E"/>
    <w:rsid w:val="42571AE1"/>
    <w:rsid w:val="42697E79"/>
    <w:rsid w:val="42730E0D"/>
    <w:rsid w:val="427409B9"/>
    <w:rsid w:val="42831021"/>
    <w:rsid w:val="42873CB7"/>
    <w:rsid w:val="42A87389"/>
    <w:rsid w:val="42AE7157"/>
    <w:rsid w:val="42D67001"/>
    <w:rsid w:val="42E06A10"/>
    <w:rsid w:val="43112BE5"/>
    <w:rsid w:val="431B56C6"/>
    <w:rsid w:val="432E5E21"/>
    <w:rsid w:val="433D2335"/>
    <w:rsid w:val="436A2192"/>
    <w:rsid w:val="439C3431"/>
    <w:rsid w:val="439D0E7C"/>
    <w:rsid w:val="43D67A91"/>
    <w:rsid w:val="43E21F58"/>
    <w:rsid w:val="43F76F69"/>
    <w:rsid w:val="43FC0DB2"/>
    <w:rsid w:val="44584267"/>
    <w:rsid w:val="447B4A66"/>
    <w:rsid w:val="447D4136"/>
    <w:rsid w:val="448B5845"/>
    <w:rsid w:val="44B53006"/>
    <w:rsid w:val="44C87C0F"/>
    <w:rsid w:val="44DF6F1B"/>
    <w:rsid w:val="454E4F75"/>
    <w:rsid w:val="454E6B7A"/>
    <w:rsid w:val="457736FF"/>
    <w:rsid w:val="45790DCE"/>
    <w:rsid w:val="458B757C"/>
    <w:rsid w:val="45917B8A"/>
    <w:rsid w:val="45E826B2"/>
    <w:rsid w:val="45F4334C"/>
    <w:rsid w:val="4662020E"/>
    <w:rsid w:val="4671651F"/>
    <w:rsid w:val="467A6815"/>
    <w:rsid w:val="468A27AC"/>
    <w:rsid w:val="46981A1E"/>
    <w:rsid w:val="46987D2F"/>
    <w:rsid w:val="46995896"/>
    <w:rsid w:val="46A35C12"/>
    <w:rsid w:val="46A82992"/>
    <w:rsid w:val="46AD7A54"/>
    <w:rsid w:val="46B419BE"/>
    <w:rsid w:val="46B640D3"/>
    <w:rsid w:val="46CD1F17"/>
    <w:rsid w:val="46D67289"/>
    <w:rsid w:val="46DD1D17"/>
    <w:rsid w:val="46E1018C"/>
    <w:rsid w:val="46E53AB0"/>
    <w:rsid w:val="46F37479"/>
    <w:rsid w:val="46FC2FE8"/>
    <w:rsid w:val="47033281"/>
    <w:rsid w:val="47073BE8"/>
    <w:rsid w:val="47457188"/>
    <w:rsid w:val="47666951"/>
    <w:rsid w:val="47683159"/>
    <w:rsid w:val="479D7800"/>
    <w:rsid w:val="47DD6A91"/>
    <w:rsid w:val="47EB0853"/>
    <w:rsid w:val="47FA20F9"/>
    <w:rsid w:val="480B7A59"/>
    <w:rsid w:val="48111DC2"/>
    <w:rsid w:val="482D350F"/>
    <w:rsid w:val="483C2A8C"/>
    <w:rsid w:val="48424FA1"/>
    <w:rsid w:val="484647AE"/>
    <w:rsid w:val="484F1901"/>
    <w:rsid w:val="485D5413"/>
    <w:rsid w:val="48740F16"/>
    <w:rsid w:val="48850976"/>
    <w:rsid w:val="48942964"/>
    <w:rsid w:val="48A36B1C"/>
    <w:rsid w:val="48A76BEF"/>
    <w:rsid w:val="48AF255D"/>
    <w:rsid w:val="48B16C29"/>
    <w:rsid w:val="48DC218B"/>
    <w:rsid w:val="49075A63"/>
    <w:rsid w:val="4935171C"/>
    <w:rsid w:val="495C3370"/>
    <w:rsid w:val="496409A2"/>
    <w:rsid w:val="49707759"/>
    <w:rsid w:val="49927DFC"/>
    <w:rsid w:val="4995554E"/>
    <w:rsid w:val="499B3646"/>
    <w:rsid w:val="499C3504"/>
    <w:rsid w:val="49A43EE6"/>
    <w:rsid w:val="49BD696F"/>
    <w:rsid w:val="49C20C6C"/>
    <w:rsid w:val="49CE0C89"/>
    <w:rsid w:val="49D93C20"/>
    <w:rsid w:val="49DA3FD3"/>
    <w:rsid w:val="4A0573EC"/>
    <w:rsid w:val="4A06116C"/>
    <w:rsid w:val="4A09499E"/>
    <w:rsid w:val="4A381BA6"/>
    <w:rsid w:val="4A3926E2"/>
    <w:rsid w:val="4A3F449E"/>
    <w:rsid w:val="4A4172CE"/>
    <w:rsid w:val="4A43236C"/>
    <w:rsid w:val="4A4A176A"/>
    <w:rsid w:val="4A6C0FC7"/>
    <w:rsid w:val="4A7413BF"/>
    <w:rsid w:val="4A7D09F3"/>
    <w:rsid w:val="4A840EFE"/>
    <w:rsid w:val="4AC4256B"/>
    <w:rsid w:val="4AD162A8"/>
    <w:rsid w:val="4AD768C6"/>
    <w:rsid w:val="4AF902F5"/>
    <w:rsid w:val="4AF94D42"/>
    <w:rsid w:val="4B376E2E"/>
    <w:rsid w:val="4B385AE2"/>
    <w:rsid w:val="4B705844"/>
    <w:rsid w:val="4B7A3C96"/>
    <w:rsid w:val="4B82716C"/>
    <w:rsid w:val="4B8A2918"/>
    <w:rsid w:val="4B901807"/>
    <w:rsid w:val="4B9B25E4"/>
    <w:rsid w:val="4BAD4CA2"/>
    <w:rsid w:val="4BC456EF"/>
    <w:rsid w:val="4BC647B0"/>
    <w:rsid w:val="4BDF4B49"/>
    <w:rsid w:val="4BE57E16"/>
    <w:rsid w:val="4BE8649D"/>
    <w:rsid w:val="4C0236B4"/>
    <w:rsid w:val="4C192F75"/>
    <w:rsid w:val="4C312ECF"/>
    <w:rsid w:val="4C5035A1"/>
    <w:rsid w:val="4C5F0B5D"/>
    <w:rsid w:val="4C860543"/>
    <w:rsid w:val="4C8E48D8"/>
    <w:rsid w:val="4C974009"/>
    <w:rsid w:val="4CC17C3E"/>
    <w:rsid w:val="4CC42462"/>
    <w:rsid w:val="4CCD5921"/>
    <w:rsid w:val="4CDA21DD"/>
    <w:rsid w:val="4CF04CFC"/>
    <w:rsid w:val="4CFB51DB"/>
    <w:rsid w:val="4D0F1680"/>
    <w:rsid w:val="4D1D6CA0"/>
    <w:rsid w:val="4D2609C6"/>
    <w:rsid w:val="4D2F5C2A"/>
    <w:rsid w:val="4D33448A"/>
    <w:rsid w:val="4D3F4840"/>
    <w:rsid w:val="4D410392"/>
    <w:rsid w:val="4D5C5732"/>
    <w:rsid w:val="4D656800"/>
    <w:rsid w:val="4D705706"/>
    <w:rsid w:val="4D8D11C1"/>
    <w:rsid w:val="4DA53BC8"/>
    <w:rsid w:val="4DB41824"/>
    <w:rsid w:val="4DD776ED"/>
    <w:rsid w:val="4DDF6E13"/>
    <w:rsid w:val="4DE60E50"/>
    <w:rsid w:val="4DF20FEE"/>
    <w:rsid w:val="4E0939E5"/>
    <w:rsid w:val="4E176DF3"/>
    <w:rsid w:val="4E3A2C21"/>
    <w:rsid w:val="4E4475F5"/>
    <w:rsid w:val="4E68543B"/>
    <w:rsid w:val="4E694E99"/>
    <w:rsid w:val="4E795FE9"/>
    <w:rsid w:val="4EE86D63"/>
    <w:rsid w:val="4EEE11A3"/>
    <w:rsid w:val="4EFF3444"/>
    <w:rsid w:val="4F0441E5"/>
    <w:rsid w:val="4F155F27"/>
    <w:rsid w:val="4F7278C6"/>
    <w:rsid w:val="4F85034E"/>
    <w:rsid w:val="4F983E33"/>
    <w:rsid w:val="4FAB3627"/>
    <w:rsid w:val="4FB40C2C"/>
    <w:rsid w:val="4FD365FC"/>
    <w:rsid w:val="4FD62D61"/>
    <w:rsid w:val="4FDC6418"/>
    <w:rsid w:val="4FE15781"/>
    <w:rsid w:val="50095827"/>
    <w:rsid w:val="50186BF6"/>
    <w:rsid w:val="502C4247"/>
    <w:rsid w:val="502D25A0"/>
    <w:rsid w:val="503D5373"/>
    <w:rsid w:val="504261AC"/>
    <w:rsid w:val="50B139BD"/>
    <w:rsid w:val="50BE1B1D"/>
    <w:rsid w:val="50C51F05"/>
    <w:rsid w:val="50D228CF"/>
    <w:rsid w:val="50E63519"/>
    <w:rsid w:val="50ED76FB"/>
    <w:rsid w:val="51187610"/>
    <w:rsid w:val="51375EB3"/>
    <w:rsid w:val="513853CC"/>
    <w:rsid w:val="514C1E16"/>
    <w:rsid w:val="515C30A6"/>
    <w:rsid w:val="517F00BC"/>
    <w:rsid w:val="519D2F03"/>
    <w:rsid w:val="51BE2EAE"/>
    <w:rsid w:val="51DA5890"/>
    <w:rsid w:val="51F96848"/>
    <w:rsid w:val="52073487"/>
    <w:rsid w:val="521D7ED7"/>
    <w:rsid w:val="5239194F"/>
    <w:rsid w:val="52612620"/>
    <w:rsid w:val="52790FD9"/>
    <w:rsid w:val="528C5E23"/>
    <w:rsid w:val="529F0D9B"/>
    <w:rsid w:val="52CF0A4A"/>
    <w:rsid w:val="52DD5B35"/>
    <w:rsid w:val="52FC1C88"/>
    <w:rsid w:val="53155215"/>
    <w:rsid w:val="531621BA"/>
    <w:rsid w:val="531D0F10"/>
    <w:rsid w:val="534246C3"/>
    <w:rsid w:val="53495ACD"/>
    <w:rsid w:val="53606015"/>
    <w:rsid w:val="5366542B"/>
    <w:rsid w:val="536D41AE"/>
    <w:rsid w:val="53794E20"/>
    <w:rsid w:val="5391597D"/>
    <w:rsid w:val="53947DE7"/>
    <w:rsid w:val="53A27D95"/>
    <w:rsid w:val="53A911A1"/>
    <w:rsid w:val="53E07B00"/>
    <w:rsid w:val="54002BFD"/>
    <w:rsid w:val="542F7A60"/>
    <w:rsid w:val="54550067"/>
    <w:rsid w:val="54580F5A"/>
    <w:rsid w:val="5478695B"/>
    <w:rsid w:val="548810E8"/>
    <w:rsid w:val="549C6534"/>
    <w:rsid w:val="54B62C99"/>
    <w:rsid w:val="54DF688B"/>
    <w:rsid w:val="550E6C32"/>
    <w:rsid w:val="554E0863"/>
    <w:rsid w:val="555737A6"/>
    <w:rsid w:val="55611FED"/>
    <w:rsid w:val="556C1CC4"/>
    <w:rsid w:val="55712540"/>
    <w:rsid w:val="5577741D"/>
    <w:rsid w:val="557F74CF"/>
    <w:rsid w:val="558126EC"/>
    <w:rsid w:val="55883669"/>
    <w:rsid w:val="559537DA"/>
    <w:rsid w:val="55B403DD"/>
    <w:rsid w:val="55C0140E"/>
    <w:rsid w:val="55CF48E7"/>
    <w:rsid w:val="55D0342A"/>
    <w:rsid w:val="55D849A1"/>
    <w:rsid w:val="55E31A15"/>
    <w:rsid w:val="55E5367A"/>
    <w:rsid w:val="56214A7B"/>
    <w:rsid w:val="562E1F90"/>
    <w:rsid w:val="563B616D"/>
    <w:rsid w:val="56436207"/>
    <w:rsid w:val="566510CB"/>
    <w:rsid w:val="567A6CC0"/>
    <w:rsid w:val="56927DA4"/>
    <w:rsid w:val="56A04928"/>
    <w:rsid w:val="56A50EBB"/>
    <w:rsid w:val="56B96F66"/>
    <w:rsid w:val="56BE75C0"/>
    <w:rsid w:val="56DA3EBA"/>
    <w:rsid w:val="56ED5E03"/>
    <w:rsid w:val="56FB0134"/>
    <w:rsid w:val="57012351"/>
    <w:rsid w:val="57095761"/>
    <w:rsid w:val="57292292"/>
    <w:rsid w:val="572E7E52"/>
    <w:rsid w:val="573B3910"/>
    <w:rsid w:val="57484376"/>
    <w:rsid w:val="574B4B12"/>
    <w:rsid w:val="575425F9"/>
    <w:rsid w:val="57702374"/>
    <w:rsid w:val="579A7C07"/>
    <w:rsid w:val="57A46FEE"/>
    <w:rsid w:val="57B02763"/>
    <w:rsid w:val="57B6547E"/>
    <w:rsid w:val="57D01AAC"/>
    <w:rsid w:val="57DF6500"/>
    <w:rsid w:val="57E73B61"/>
    <w:rsid w:val="5803475B"/>
    <w:rsid w:val="580F5BC1"/>
    <w:rsid w:val="5822786C"/>
    <w:rsid w:val="58590DD2"/>
    <w:rsid w:val="586E1447"/>
    <w:rsid w:val="5872626C"/>
    <w:rsid w:val="5878285F"/>
    <w:rsid w:val="588509DD"/>
    <w:rsid w:val="58957A8C"/>
    <w:rsid w:val="589F18E4"/>
    <w:rsid w:val="58B8443B"/>
    <w:rsid w:val="58BC4002"/>
    <w:rsid w:val="59085457"/>
    <w:rsid w:val="59267EF0"/>
    <w:rsid w:val="59421F7E"/>
    <w:rsid w:val="594935F2"/>
    <w:rsid w:val="595C0946"/>
    <w:rsid w:val="59642A7A"/>
    <w:rsid w:val="596D32B4"/>
    <w:rsid w:val="599148CE"/>
    <w:rsid w:val="59A24ED6"/>
    <w:rsid w:val="59B6531E"/>
    <w:rsid w:val="59B75E8A"/>
    <w:rsid w:val="59BC0F73"/>
    <w:rsid w:val="59BE1CC3"/>
    <w:rsid w:val="59C13A26"/>
    <w:rsid w:val="59D906FD"/>
    <w:rsid w:val="59EB0D06"/>
    <w:rsid w:val="59FB6E1D"/>
    <w:rsid w:val="5A0640DE"/>
    <w:rsid w:val="5A1215B1"/>
    <w:rsid w:val="5A1D0AF2"/>
    <w:rsid w:val="5A1F5196"/>
    <w:rsid w:val="5A227353"/>
    <w:rsid w:val="5A440B9D"/>
    <w:rsid w:val="5A5128C3"/>
    <w:rsid w:val="5A5C7772"/>
    <w:rsid w:val="5A6336A1"/>
    <w:rsid w:val="5A6B7C88"/>
    <w:rsid w:val="5A73612A"/>
    <w:rsid w:val="5AA541CF"/>
    <w:rsid w:val="5AA772DA"/>
    <w:rsid w:val="5AB96041"/>
    <w:rsid w:val="5ABC6BFA"/>
    <w:rsid w:val="5AD510F0"/>
    <w:rsid w:val="5AF82FCA"/>
    <w:rsid w:val="5B187495"/>
    <w:rsid w:val="5B1B10FA"/>
    <w:rsid w:val="5B2445B5"/>
    <w:rsid w:val="5B492D29"/>
    <w:rsid w:val="5B627DC7"/>
    <w:rsid w:val="5B6C5737"/>
    <w:rsid w:val="5B896F76"/>
    <w:rsid w:val="5B9C0984"/>
    <w:rsid w:val="5BE23D1E"/>
    <w:rsid w:val="5BE24CD9"/>
    <w:rsid w:val="5BE50680"/>
    <w:rsid w:val="5BE52EE1"/>
    <w:rsid w:val="5BEA2231"/>
    <w:rsid w:val="5BFD4032"/>
    <w:rsid w:val="5C1832F4"/>
    <w:rsid w:val="5C1A3044"/>
    <w:rsid w:val="5C5E033F"/>
    <w:rsid w:val="5C6875EE"/>
    <w:rsid w:val="5C7A61D4"/>
    <w:rsid w:val="5CC43404"/>
    <w:rsid w:val="5CC93DAE"/>
    <w:rsid w:val="5CD31EE3"/>
    <w:rsid w:val="5D2B5629"/>
    <w:rsid w:val="5D473075"/>
    <w:rsid w:val="5D5864DB"/>
    <w:rsid w:val="5D73393B"/>
    <w:rsid w:val="5D784379"/>
    <w:rsid w:val="5D7B3457"/>
    <w:rsid w:val="5D8B2715"/>
    <w:rsid w:val="5D915AFD"/>
    <w:rsid w:val="5E00720B"/>
    <w:rsid w:val="5E012896"/>
    <w:rsid w:val="5E0A6049"/>
    <w:rsid w:val="5E226508"/>
    <w:rsid w:val="5E5F0687"/>
    <w:rsid w:val="5E783202"/>
    <w:rsid w:val="5E7842EE"/>
    <w:rsid w:val="5EB52E6F"/>
    <w:rsid w:val="5EF04AC4"/>
    <w:rsid w:val="5F09081F"/>
    <w:rsid w:val="5F1111AD"/>
    <w:rsid w:val="5F121A0D"/>
    <w:rsid w:val="5F2C64A1"/>
    <w:rsid w:val="5F39582E"/>
    <w:rsid w:val="5F45602C"/>
    <w:rsid w:val="5F4A58A7"/>
    <w:rsid w:val="5F57147C"/>
    <w:rsid w:val="5F646936"/>
    <w:rsid w:val="5F764A5E"/>
    <w:rsid w:val="5F8C52DB"/>
    <w:rsid w:val="5FA00A10"/>
    <w:rsid w:val="5FA4374A"/>
    <w:rsid w:val="5FA4380A"/>
    <w:rsid w:val="5FB25387"/>
    <w:rsid w:val="5FC53509"/>
    <w:rsid w:val="5FD20829"/>
    <w:rsid w:val="5FFE6C22"/>
    <w:rsid w:val="60000309"/>
    <w:rsid w:val="600B6B90"/>
    <w:rsid w:val="600C3224"/>
    <w:rsid w:val="60143AD3"/>
    <w:rsid w:val="603771DA"/>
    <w:rsid w:val="6085543E"/>
    <w:rsid w:val="60907882"/>
    <w:rsid w:val="609517E9"/>
    <w:rsid w:val="60C5483E"/>
    <w:rsid w:val="60C867C5"/>
    <w:rsid w:val="60D3354A"/>
    <w:rsid w:val="60DB0800"/>
    <w:rsid w:val="60DE0DB6"/>
    <w:rsid w:val="60E54273"/>
    <w:rsid w:val="61067A64"/>
    <w:rsid w:val="6112529A"/>
    <w:rsid w:val="611F0B09"/>
    <w:rsid w:val="61200AAF"/>
    <w:rsid w:val="616E223F"/>
    <w:rsid w:val="61963257"/>
    <w:rsid w:val="619C38B4"/>
    <w:rsid w:val="61A4486B"/>
    <w:rsid w:val="61B141A0"/>
    <w:rsid w:val="61BC23E5"/>
    <w:rsid w:val="61D21120"/>
    <w:rsid w:val="61F3667F"/>
    <w:rsid w:val="62185165"/>
    <w:rsid w:val="621F6415"/>
    <w:rsid w:val="62460FCD"/>
    <w:rsid w:val="62480FF0"/>
    <w:rsid w:val="624B14C1"/>
    <w:rsid w:val="62630C6B"/>
    <w:rsid w:val="627301E8"/>
    <w:rsid w:val="62A95852"/>
    <w:rsid w:val="62BA3B2B"/>
    <w:rsid w:val="62C37511"/>
    <w:rsid w:val="62D11C3F"/>
    <w:rsid w:val="62E157FC"/>
    <w:rsid w:val="62E81148"/>
    <w:rsid w:val="62F76986"/>
    <w:rsid w:val="63340EAE"/>
    <w:rsid w:val="634B6A95"/>
    <w:rsid w:val="63615D3E"/>
    <w:rsid w:val="636C62BA"/>
    <w:rsid w:val="63821D61"/>
    <w:rsid w:val="63827E36"/>
    <w:rsid w:val="63842477"/>
    <w:rsid w:val="63A85CD1"/>
    <w:rsid w:val="63B02C42"/>
    <w:rsid w:val="63C51AD9"/>
    <w:rsid w:val="63C54411"/>
    <w:rsid w:val="63CD27C8"/>
    <w:rsid w:val="63CF2629"/>
    <w:rsid w:val="63E263F4"/>
    <w:rsid w:val="63E418C9"/>
    <w:rsid w:val="643F3FFC"/>
    <w:rsid w:val="64706C6F"/>
    <w:rsid w:val="649A6134"/>
    <w:rsid w:val="649D2569"/>
    <w:rsid w:val="64A51362"/>
    <w:rsid w:val="64A55A03"/>
    <w:rsid w:val="64B453B1"/>
    <w:rsid w:val="651A5C6A"/>
    <w:rsid w:val="65367FC7"/>
    <w:rsid w:val="65403733"/>
    <w:rsid w:val="655754CB"/>
    <w:rsid w:val="655E2D72"/>
    <w:rsid w:val="65833C4F"/>
    <w:rsid w:val="658B37B6"/>
    <w:rsid w:val="659C17EE"/>
    <w:rsid w:val="65D70270"/>
    <w:rsid w:val="66032E7B"/>
    <w:rsid w:val="661026AA"/>
    <w:rsid w:val="663D054E"/>
    <w:rsid w:val="6679372B"/>
    <w:rsid w:val="66980BF6"/>
    <w:rsid w:val="66B81454"/>
    <w:rsid w:val="66BE1292"/>
    <w:rsid w:val="66BF76F1"/>
    <w:rsid w:val="66DC5BF8"/>
    <w:rsid w:val="66E173F9"/>
    <w:rsid w:val="66E3226C"/>
    <w:rsid w:val="66EC5E36"/>
    <w:rsid w:val="67181932"/>
    <w:rsid w:val="672A4901"/>
    <w:rsid w:val="67441B08"/>
    <w:rsid w:val="67513E69"/>
    <w:rsid w:val="675A17FE"/>
    <w:rsid w:val="678A44B2"/>
    <w:rsid w:val="678C1D52"/>
    <w:rsid w:val="67C149C0"/>
    <w:rsid w:val="67C7427D"/>
    <w:rsid w:val="67CA7967"/>
    <w:rsid w:val="67D9695E"/>
    <w:rsid w:val="67DC5CEA"/>
    <w:rsid w:val="67DF18A0"/>
    <w:rsid w:val="680965F8"/>
    <w:rsid w:val="68240EAA"/>
    <w:rsid w:val="6850356A"/>
    <w:rsid w:val="685465AC"/>
    <w:rsid w:val="687442EE"/>
    <w:rsid w:val="689B3E14"/>
    <w:rsid w:val="689F2FA0"/>
    <w:rsid w:val="68AD26AA"/>
    <w:rsid w:val="68BC14B0"/>
    <w:rsid w:val="68C20D16"/>
    <w:rsid w:val="68DD619B"/>
    <w:rsid w:val="68F239CA"/>
    <w:rsid w:val="68FD5593"/>
    <w:rsid w:val="691B307E"/>
    <w:rsid w:val="6934218F"/>
    <w:rsid w:val="693C5AA5"/>
    <w:rsid w:val="693E13B7"/>
    <w:rsid w:val="6951205B"/>
    <w:rsid w:val="6953741D"/>
    <w:rsid w:val="69731101"/>
    <w:rsid w:val="697D087B"/>
    <w:rsid w:val="69A7770D"/>
    <w:rsid w:val="69AC0B64"/>
    <w:rsid w:val="69B27C94"/>
    <w:rsid w:val="69BA2288"/>
    <w:rsid w:val="69D537ED"/>
    <w:rsid w:val="69DC3AC1"/>
    <w:rsid w:val="69F224F8"/>
    <w:rsid w:val="69F3790F"/>
    <w:rsid w:val="6A12415B"/>
    <w:rsid w:val="6A2750C5"/>
    <w:rsid w:val="6A290AA5"/>
    <w:rsid w:val="6A2A46CE"/>
    <w:rsid w:val="6A3F4FDB"/>
    <w:rsid w:val="6A532FF6"/>
    <w:rsid w:val="6A7174A5"/>
    <w:rsid w:val="6A72508F"/>
    <w:rsid w:val="6A732254"/>
    <w:rsid w:val="6A774894"/>
    <w:rsid w:val="6A8C3EFF"/>
    <w:rsid w:val="6A937D23"/>
    <w:rsid w:val="6A9B5915"/>
    <w:rsid w:val="6A9B7735"/>
    <w:rsid w:val="6AB45A03"/>
    <w:rsid w:val="6ABE4FFD"/>
    <w:rsid w:val="6AED013C"/>
    <w:rsid w:val="6AF63F29"/>
    <w:rsid w:val="6B285741"/>
    <w:rsid w:val="6B340EF1"/>
    <w:rsid w:val="6B3D06AC"/>
    <w:rsid w:val="6B444BB7"/>
    <w:rsid w:val="6B4B2C3B"/>
    <w:rsid w:val="6B5B0A52"/>
    <w:rsid w:val="6B5D2504"/>
    <w:rsid w:val="6B95396B"/>
    <w:rsid w:val="6BBB00B1"/>
    <w:rsid w:val="6BC03721"/>
    <w:rsid w:val="6BCF2DCA"/>
    <w:rsid w:val="6BDD0493"/>
    <w:rsid w:val="6BDE54AC"/>
    <w:rsid w:val="6BF25C39"/>
    <w:rsid w:val="6C06150E"/>
    <w:rsid w:val="6C263A06"/>
    <w:rsid w:val="6C3A624E"/>
    <w:rsid w:val="6C431738"/>
    <w:rsid w:val="6C505966"/>
    <w:rsid w:val="6C5D04BB"/>
    <w:rsid w:val="6C8E4315"/>
    <w:rsid w:val="6C95615F"/>
    <w:rsid w:val="6CA94419"/>
    <w:rsid w:val="6CB242A2"/>
    <w:rsid w:val="6CE0612A"/>
    <w:rsid w:val="6CE269D3"/>
    <w:rsid w:val="6CED284E"/>
    <w:rsid w:val="6CF04EB7"/>
    <w:rsid w:val="6CF17872"/>
    <w:rsid w:val="6CF76712"/>
    <w:rsid w:val="6D033EFD"/>
    <w:rsid w:val="6D274676"/>
    <w:rsid w:val="6D2F4B50"/>
    <w:rsid w:val="6D3C14B2"/>
    <w:rsid w:val="6D436625"/>
    <w:rsid w:val="6D652ED0"/>
    <w:rsid w:val="6D662717"/>
    <w:rsid w:val="6DA71839"/>
    <w:rsid w:val="6DB20233"/>
    <w:rsid w:val="6E0F320E"/>
    <w:rsid w:val="6E1B4CD0"/>
    <w:rsid w:val="6E376A3A"/>
    <w:rsid w:val="6E3F1C0F"/>
    <w:rsid w:val="6E633CB5"/>
    <w:rsid w:val="6E72570E"/>
    <w:rsid w:val="6EAB29FB"/>
    <w:rsid w:val="6EB32B7F"/>
    <w:rsid w:val="6EB46F18"/>
    <w:rsid w:val="6EBD4DFF"/>
    <w:rsid w:val="6EC73357"/>
    <w:rsid w:val="6EE939F2"/>
    <w:rsid w:val="6F021829"/>
    <w:rsid w:val="6F28474F"/>
    <w:rsid w:val="6F384951"/>
    <w:rsid w:val="6F607895"/>
    <w:rsid w:val="6F61040C"/>
    <w:rsid w:val="6F6776E1"/>
    <w:rsid w:val="6F9C5D71"/>
    <w:rsid w:val="6FA3781E"/>
    <w:rsid w:val="6FE53444"/>
    <w:rsid w:val="6FF1528E"/>
    <w:rsid w:val="700C0460"/>
    <w:rsid w:val="70170F2B"/>
    <w:rsid w:val="701E2FAB"/>
    <w:rsid w:val="70387A8F"/>
    <w:rsid w:val="70767F2C"/>
    <w:rsid w:val="707E62BB"/>
    <w:rsid w:val="709E640C"/>
    <w:rsid w:val="70B56633"/>
    <w:rsid w:val="70BB0D3E"/>
    <w:rsid w:val="70CF3906"/>
    <w:rsid w:val="70D91094"/>
    <w:rsid w:val="70DB76EF"/>
    <w:rsid w:val="712D2ADB"/>
    <w:rsid w:val="71431855"/>
    <w:rsid w:val="7143374A"/>
    <w:rsid w:val="71536701"/>
    <w:rsid w:val="716B5F96"/>
    <w:rsid w:val="718B3A9F"/>
    <w:rsid w:val="71936186"/>
    <w:rsid w:val="71AF2F66"/>
    <w:rsid w:val="71C96C07"/>
    <w:rsid w:val="71CD28DD"/>
    <w:rsid w:val="71D00811"/>
    <w:rsid w:val="71DA7C5F"/>
    <w:rsid w:val="71DE4C74"/>
    <w:rsid w:val="71E346E4"/>
    <w:rsid w:val="71E767FC"/>
    <w:rsid w:val="71EF5D41"/>
    <w:rsid w:val="72056436"/>
    <w:rsid w:val="72130B93"/>
    <w:rsid w:val="723749D7"/>
    <w:rsid w:val="724E54F1"/>
    <w:rsid w:val="727334E4"/>
    <w:rsid w:val="727B2E39"/>
    <w:rsid w:val="72827328"/>
    <w:rsid w:val="728B509F"/>
    <w:rsid w:val="728F0A31"/>
    <w:rsid w:val="72B751B8"/>
    <w:rsid w:val="72CE3184"/>
    <w:rsid w:val="72D456A5"/>
    <w:rsid w:val="72E70D52"/>
    <w:rsid w:val="72EA6B66"/>
    <w:rsid w:val="72F77AD6"/>
    <w:rsid w:val="73007121"/>
    <w:rsid w:val="731C28E7"/>
    <w:rsid w:val="732A4A9B"/>
    <w:rsid w:val="73343997"/>
    <w:rsid w:val="733C723A"/>
    <w:rsid w:val="733C7C6A"/>
    <w:rsid w:val="73690216"/>
    <w:rsid w:val="736A02D8"/>
    <w:rsid w:val="739B1EFF"/>
    <w:rsid w:val="73A16D22"/>
    <w:rsid w:val="73B1400F"/>
    <w:rsid w:val="73BA064C"/>
    <w:rsid w:val="73BB3C6E"/>
    <w:rsid w:val="73CE1997"/>
    <w:rsid w:val="73EC7C9D"/>
    <w:rsid w:val="741076D1"/>
    <w:rsid w:val="74215D04"/>
    <w:rsid w:val="742A0965"/>
    <w:rsid w:val="742D6DB6"/>
    <w:rsid w:val="74775754"/>
    <w:rsid w:val="74B06962"/>
    <w:rsid w:val="74B32215"/>
    <w:rsid w:val="74C46840"/>
    <w:rsid w:val="74D71DDE"/>
    <w:rsid w:val="74E11F86"/>
    <w:rsid w:val="74FB509B"/>
    <w:rsid w:val="74FB6035"/>
    <w:rsid w:val="750934A8"/>
    <w:rsid w:val="750A15E4"/>
    <w:rsid w:val="752B3381"/>
    <w:rsid w:val="75594581"/>
    <w:rsid w:val="75625A16"/>
    <w:rsid w:val="75663FD1"/>
    <w:rsid w:val="759B0C43"/>
    <w:rsid w:val="75C123A7"/>
    <w:rsid w:val="75CD2584"/>
    <w:rsid w:val="75F75D00"/>
    <w:rsid w:val="75F8074C"/>
    <w:rsid w:val="7600209C"/>
    <w:rsid w:val="760049B0"/>
    <w:rsid w:val="76070A73"/>
    <w:rsid w:val="763B42FB"/>
    <w:rsid w:val="763F1F92"/>
    <w:rsid w:val="76424474"/>
    <w:rsid w:val="76452780"/>
    <w:rsid w:val="76690632"/>
    <w:rsid w:val="767469E2"/>
    <w:rsid w:val="76775F0B"/>
    <w:rsid w:val="76894819"/>
    <w:rsid w:val="76932317"/>
    <w:rsid w:val="76B153BA"/>
    <w:rsid w:val="76C72CA0"/>
    <w:rsid w:val="76ED0EF4"/>
    <w:rsid w:val="76F2295F"/>
    <w:rsid w:val="76F50A9F"/>
    <w:rsid w:val="76FD2D1D"/>
    <w:rsid w:val="77187F65"/>
    <w:rsid w:val="7729766A"/>
    <w:rsid w:val="773A62B8"/>
    <w:rsid w:val="774B3934"/>
    <w:rsid w:val="777B5F51"/>
    <w:rsid w:val="777D53E6"/>
    <w:rsid w:val="77847A56"/>
    <w:rsid w:val="778F49BD"/>
    <w:rsid w:val="77966F4C"/>
    <w:rsid w:val="77A75021"/>
    <w:rsid w:val="77B4796D"/>
    <w:rsid w:val="77B8689C"/>
    <w:rsid w:val="77C2510C"/>
    <w:rsid w:val="77C833A2"/>
    <w:rsid w:val="78036043"/>
    <w:rsid w:val="781838FF"/>
    <w:rsid w:val="781B3886"/>
    <w:rsid w:val="78375EBD"/>
    <w:rsid w:val="7888219B"/>
    <w:rsid w:val="788908C8"/>
    <w:rsid w:val="78BC539D"/>
    <w:rsid w:val="78C134B0"/>
    <w:rsid w:val="78D32A6A"/>
    <w:rsid w:val="78D97F0E"/>
    <w:rsid w:val="78DA009A"/>
    <w:rsid w:val="78DC2FA9"/>
    <w:rsid w:val="78F40C87"/>
    <w:rsid w:val="78FC7FC2"/>
    <w:rsid w:val="79027069"/>
    <w:rsid w:val="791474A8"/>
    <w:rsid w:val="79176206"/>
    <w:rsid w:val="79213934"/>
    <w:rsid w:val="7940572D"/>
    <w:rsid w:val="79461391"/>
    <w:rsid w:val="794B4D74"/>
    <w:rsid w:val="79501475"/>
    <w:rsid w:val="795A5499"/>
    <w:rsid w:val="796E35F2"/>
    <w:rsid w:val="7971290E"/>
    <w:rsid w:val="79A15149"/>
    <w:rsid w:val="79A37CCA"/>
    <w:rsid w:val="79C24EDF"/>
    <w:rsid w:val="79C95AED"/>
    <w:rsid w:val="79E12ED9"/>
    <w:rsid w:val="79E352FF"/>
    <w:rsid w:val="79ED6701"/>
    <w:rsid w:val="79FB2D0B"/>
    <w:rsid w:val="7A0F1525"/>
    <w:rsid w:val="7A4D07BA"/>
    <w:rsid w:val="7A5863D3"/>
    <w:rsid w:val="7A64499E"/>
    <w:rsid w:val="7A6656B6"/>
    <w:rsid w:val="7A723F72"/>
    <w:rsid w:val="7A743D9C"/>
    <w:rsid w:val="7A9123B7"/>
    <w:rsid w:val="7A9711EE"/>
    <w:rsid w:val="7A9C3E5C"/>
    <w:rsid w:val="7AA952CF"/>
    <w:rsid w:val="7ACD2D7F"/>
    <w:rsid w:val="7AD27B42"/>
    <w:rsid w:val="7B18546A"/>
    <w:rsid w:val="7B214978"/>
    <w:rsid w:val="7B4A5781"/>
    <w:rsid w:val="7B603C7C"/>
    <w:rsid w:val="7B6E2AB1"/>
    <w:rsid w:val="7B771CED"/>
    <w:rsid w:val="7B9422CC"/>
    <w:rsid w:val="7BA521BC"/>
    <w:rsid w:val="7BB145C1"/>
    <w:rsid w:val="7BB2241E"/>
    <w:rsid w:val="7BC17EBE"/>
    <w:rsid w:val="7BC43666"/>
    <w:rsid w:val="7BC8293C"/>
    <w:rsid w:val="7BC87053"/>
    <w:rsid w:val="7BDE0174"/>
    <w:rsid w:val="7BE131F6"/>
    <w:rsid w:val="7BF11348"/>
    <w:rsid w:val="7C613AEC"/>
    <w:rsid w:val="7C815D2A"/>
    <w:rsid w:val="7C831756"/>
    <w:rsid w:val="7CB62523"/>
    <w:rsid w:val="7CE70935"/>
    <w:rsid w:val="7CF84A31"/>
    <w:rsid w:val="7CFC44C2"/>
    <w:rsid w:val="7D013B39"/>
    <w:rsid w:val="7D0826CA"/>
    <w:rsid w:val="7D130509"/>
    <w:rsid w:val="7D1946C0"/>
    <w:rsid w:val="7D2A5CCB"/>
    <w:rsid w:val="7D401CAA"/>
    <w:rsid w:val="7D64087E"/>
    <w:rsid w:val="7D7F5298"/>
    <w:rsid w:val="7DAB10BD"/>
    <w:rsid w:val="7DD7657D"/>
    <w:rsid w:val="7DF464FC"/>
    <w:rsid w:val="7E006A11"/>
    <w:rsid w:val="7E1C55F3"/>
    <w:rsid w:val="7E347694"/>
    <w:rsid w:val="7E3B5911"/>
    <w:rsid w:val="7E495416"/>
    <w:rsid w:val="7E497873"/>
    <w:rsid w:val="7E750E81"/>
    <w:rsid w:val="7E9044A6"/>
    <w:rsid w:val="7E922E52"/>
    <w:rsid w:val="7EA87297"/>
    <w:rsid w:val="7EC57DB4"/>
    <w:rsid w:val="7ED55364"/>
    <w:rsid w:val="7ED61FF8"/>
    <w:rsid w:val="7EDE52DA"/>
    <w:rsid w:val="7EE02226"/>
    <w:rsid w:val="7EEC4A0C"/>
    <w:rsid w:val="7EEF5C7E"/>
    <w:rsid w:val="7F085E6E"/>
    <w:rsid w:val="7F090A0E"/>
    <w:rsid w:val="7F0C0396"/>
    <w:rsid w:val="7F160CCE"/>
    <w:rsid w:val="7F18438A"/>
    <w:rsid w:val="7FB8425A"/>
    <w:rsid w:val="7FDA2CD0"/>
    <w:rsid w:val="7FF908EE"/>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semiHidden="0" w:name="annotation text"/>
    <w:lsdException w:uiPriority="99" w:semiHidden="0" w:name="header"/>
    <w:lsdException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uiPriority="99" w:semiHidden="0"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kern w:val="2"/>
      <w:sz w:val="21"/>
      <w:szCs w:val="22"/>
      <w:lang w:val="en-US" w:eastAsia="zh-CN" w:bidi="ar-SA"/>
    </w:rPr>
  </w:style>
  <w:style w:type="paragraph" w:styleId="2">
    <w:name w:val="heading 1"/>
    <w:basedOn w:val="1"/>
    <w:next w:val="1"/>
    <w:link w:val="75"/>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56"/>
    <w:qFormat/>
    <w:uiPriority w:val="0"/>
    <w:pPr>
      <w:keepLines/>
      <w:widowControl/>
      <w:spacing w:before="180" w:after="180"/>
      <w:ind w:left="1134" w:hanging="1134"/>
      <w:jc w:val="left"/>
      <w:outlineLvl w:val="1"/>
    </w:pPr>
    <w:rPr>
      <w:rFonts w:ascii="Arial" w:hAnsi="Arial"/>
      <w:b w:val="0"/>
      <w:bCs w:val="0"/>
      <w:kern w:val="0"/>
      <w:szCs w:val="20"/>
      <w:lang w:eastAsia="en-US"/>
    </w:rPr>
  </w:style>
  <w:style w:type="paragraph" w:styleId="4">
    <w:name w:val="heading 3"/>
    <w:basedOn w:val="3"/>
    <w:next w:val="1"/>
    <w:link w:val="62"/>
    <w:qFormat/>
    <w:uiPriority w:val="0"/>
    <w:pPr>
      <w:spacing w:before="120"/>
      <w:outlineLvl w:val="2"/>
    </w:pPr>
    <w:rPr>
      <w:sz w:val="28"/>
    </w:rPr>
  </w:style>
  <w:style w:type="paragraph" w:styleId="5">
    <w:name w:val="heading 4"/>
    <w:basedOn w:val="4"/>
    <w:next w:val="1"/>
    <w:link w:val="61"/>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60"/>
    <w:qFormat/>
    <w:uiPriority w:val="0"/>
    <w:pPr>
      <w:tabs>
        <w:tab w:val="left" w:pos="2144"/>
        <w:tab w:val="clear" w:pos="2000"/>
      </w:tabs>
      <w:ind w:left="2144" w:hanging="1008"/>
      <w:outlineLvl w:val="4"/>
    </w:pPr>
    <w:rPr>
      <w:sz w:val="22"/>
    </w:rPr>
  </w:style>
  <w:style w:type="paragraph" w:styleId="7">
    <w:name w:val="heading 6"/>
    <w:basedOn w:val="1"/>
    <w:next w:val="1"/>
    <w:link w:val="74"/>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73"/>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47"/>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72"/>
    <w:qFormat/>
    <w:uiPriority w:val="0"/>
    <w:pPr>
      <w:tabs>
        <w:tab w:val="left" w:pos="2720"/>
        <w:tab w:val="clear" w:pos="2576"/>
      </w:tabs>
      <w:ind w:left="2720" w:hanging="1584"/>
      <w:outlineLvl w:val="8"/>
    </w:pPr>
  </w:style>
  <w:style w:type="character" w:default="1" w:styleId="21">
    <w:name w:val="Default Paragraph Font"/>
    <w:unhideWhenUsed/>
    <w:uiPriority w:val="1"/>
  </w:style>
  <w:style w:type="table" w:default="1" w:styleId="25">
    <w:name w:val="Normal Table"/>
    <w:unhideWhenUsed/>
    <w:qFormat/>
    <w:uiPriority w:val="99"/>
    <w:tblPr>
      <w:tblStyle w:val="25"/>
      <w:tblLayout w:type="fixed"/>
      <w:tblCellMar>
        <w:top w:w="0" w:type="dxa"/>
        <w:left w:w="108" w:type="dxa"/>
        <w:bottom w:w="0" w:type="dxa"/>
        <w:right w:w="108" w:type="dxa"/>
      </w:tblCellMar>
    </w:tblPr>
  </w:style>
  <w:style w:type="paragraph" w:styleId="11">
    <w:name w:val="annotation subject"/>
    <w:basedOn w:val="12"/>
    <w:next w:val="12"/>
    <w:link w:val="48"/>
    <w:unhideWhenUsed/>
    <w:uiPriority w:val="99"/>
    <w:rPr>
      <w:b/>
      <w:bCs/>
    </w:rPr>
  </w:style>
  <w:style w:type="paragraph" w:styleId="12">
    <w:name w:val="annotation text"/>
    <w:basedOn w:val="1"/>
    <w:link w:val="64"/>
    <w:unhideWhenUsed/>
    <w:uiPriority w:val="99"/>
    <w:rPr>
      <w:sz w:val="20"/>
      <w:szCs w:val="20"/>
    </w:rPr>
  </w:style>
  <w:style w:type="paragraph" w:styleId="13">
    <w:name w:val="caption"/>
    <w:basedOn w:val="1"/>
    <w:next w:val="1"/>
    <w:link w:val="67"/>
    <w:qFormat/>
    <w:uiPriority w:val="0"/>
    <w:pPr>
      <w:widowControl/>
      <w:spacing w:before="152" w:after="160"/>
    </w:pPr>
    <w:rPr>
      <w:rFonts w:ascii="Arial" w:hAnsi="Arial" w:eastAsia="黑体"/>
      <w:kern w:val="0"/>
      <w:sz w:val="20"/>
      <w:szCs w:val="20"/>
    </w:rPr>
  </w:style>
  <w:style w:type="paragraph" w:styleId="14">
    <w:name w:val="Document Map"/>
    <w:basedOn w:val="1"/>
    <w:link w:val="58"/>
    <w:unhideWhenUsed/>
    <w:uiPriority w:val="99"/>
    <w:rPr>
      <w:rFonts w:ascii="宋体"/>
      <w:kern w:val="0"/>
      <w:sz w:val="18"/>
      <w:szCs w:val="18"/>
    </w:rPr>
  </w:style>
  <w:style w:type="paragraph" w:styleId="15">
    <w:name w:val="Body Text"/>
    <w:basedOn w:val="1"/>
    <w:link w:val="52"/>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6">
    <w:name w:val="Balloon Text"/>
    <w:basedOn w:val="1"/>
    <w:link w:val="65"/>
    <w:unhideWhenUsed/>
    <w:uiPriority w:val="99"/>
    <w:rPr>
      <w:sz w:val="18"/>
      <w:szCs w:val="18"/>
    </w:rPr>
  </w:style>
  <w:style w:type="paragraph" w:styleId="17">
    <w:name w:val="footer"/>
    <w:basedOn w:val="18"/>
    <w:link w:val="49"/>
    <w:unhideWhenUsed/>
    <w:uiPriority w:val="99"/>
    <w:pPr>
      <w:tabs>
        <w:tab w:val="center" w:pos="4153"/>
        <w:tab w:val="right" w:pos="8306"/>
      </w:tabs>
      <w:snapToGrid w:val="0"/>
      <w:jc w:val="left"/>
    </w:pPr>
    <w:rPr>
      <w:kern w:val="0"/>
      <w:sz w:val="18"/>
      <w:szCs w:val="18"/>
    </w:rPr>
  </w:style>
  <w:style w:type="paragraph" w:styleId="18">
    <w:name w:val="header"/>
    <w:basedOn w:val="1"/>
    <w:link w:val="54"/>
    <w:unhideWhenUsed/>
    <w:uiPriority w:val="99"/>
    <w:pPr>
      <w:pBdr>
        <w:bottom w:val="single" w:color="auto" w:sz="6" w:space="1"/>
      </w:pBdr>
      <w:tabs>
        <w:tab w:val="center" w:pos="4153"/>
        <w:tab w:val="right" w:pos="8306"/>
      </w:tabs>
      <w:snapToGrid w:val="0"/>
      <w:jc w:val="center"/>
    </w:pPr>
    <w:rPr>
      <w:kern w:val="0"/>
      <w:sz w:val="18"/>
      <w:szCs w:val="18"/>
    </w:rPr>
  </w:style>
  <w:style w:type="paragraph" w:styleId="19">
    <w:name w:val="List"/>
    <w:basedOn w:val="1"/>
    <w:unhideWhenUsed/>
    <w:uiPriority w:val="99"/>
    <w:pPr>
      <w:ind w:left="200" w:hanging="200" w:hangingChars="200"/>
      <w:contextualSpacing/>
    </w:pPr>
  </w:style>
  <w:style w:type="paragraph" w:styleId="20">
    <w:name w:val="Normal (Web)"/>
    <w:basedOn w:val="1"/>
    <w:unhideWhenUsed/>
    <w:uiPriority w:val="99"/>
    <w:pPr>
      <w:widowControl/>
      <w:spacing w:before="100" w:beforeAutospacing="1" w:after="100" w:afterAutospacing="1"/>
      <w:jc w:val="left"/>
    </w:pPr>
    <w:rPr>
      <w:rFonts w:ascii="宋体" w:hAnsi="宋体" w:cs="宋体"/>
      <w:kern w:val="0"/>
      <w:sz w:val="24"/>
      <w:szCs w:val="24"/>
    </w:rPr>
  </w:style>
  <w:style w:type="character" w:styleId="22">
    <w:name w:val="Strong"/>
    <w:qFormat/>
    <w:uiPriority w:val="0"/>
    <w:rPr>
      <w:rFonts w:ascii="Calibri" w:hAnsi="Calibri" w:eastAsia="宋体" w:cs="Calibri"/>
      <w:bCs/>
      <w:sz w:val="24"/>
    </w:rPr>
  </w:style>
  <w:style w:type="character" w:styleId="23">
    <w:name w:val="Hyperlink"/>
    <w:uiPriority w:val="0"/>
    <w:rPr>
      <w:color w:val="0000FF"/>
      <w:u w:val="single"/>
    </w:rPr>
  </w:style>
  <w:style w:type="character" w:styleId="24">
    <w:name w:val="annotation reference"/>
    <w:unhideWhenUsed/>
    <w:uiPriority w:val="99"/>
    <w:rPr>
      <w:sz w:val="16"/>
      <w:szCs w:val="16"/>
    </w:rPr>
  </w:style>
  <w:style w:type="table" w:styleId="26">
    <w:name w:val="Table Grid"/>
    <w:basedOn w:val="25"/>
    <w:uiPriority w:val="0"/>
    <w:rPr>
      <w:rFonts w:ascii="Times New Roman" w:hAnsi="Times New Roman"/>
    </w:rPr>
    <w:tblPr>
      <w:tblStyle w:val="25"/>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27">
    <w:name w:val="TAC"/>
    <w:basedOn w:val="28"/>
    <w:link w:val="53"/>
    <w:uiPriority w:val="0"/>
    <w:pPr>
      <w:keepNext/>
      <w:keepLines/>
      <w:widowControl/>
      <w:overflowPunct w:val="0"/>
      <w:autoSpaceDE w:val="0"/>
      <w:autoSpaceDN w:val="0"/>
      <w:adjustRightInd w:val="0"/>
      <w:jc w:val="center"/>
      <w:textAlignment w:val="baseline"/>
    </w:pPr>
    <w:rPr>
      <w:rFonts w:ascii="Arial" w:hAnsi="Arial" w:eastAsia="Times New Roman"/>
      <w:kern w:val="0"/>
      <w:sz w:val="18"/>
      <w:szCs w:val="20"/>
      <w:lang w:val="en-GB" w:eastAsia="ja-JP"/>
    </w:rPr>
  </w:style>
  <w:style w:type="paragraph" w:customStyle="1" w:styleId="28">
    <w:name w:val="TAL"/>
    <w:basedOn w:val="1"/>
    <w:link w:val="51"/>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29">
    <w:name w:val="NO"/>
    <w:basedOn w:val="1"/>
    <w:link w:val="57"/>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30">
    <w:name w:val="正文1"/>
    <w:basedOn w:val="1"/>
    <w:link w:val="68"/>
    <w:qFormat/>
    <w:uiPriority w:val="0"/>
    <w:pPr>
      <w:adjustRightInd w:val="0"/>
      <w:spacing w:after="180"/>
    </w:pPr>
    <w:rPr>
      <w:kern w:val="0"/>
      <w:sz w:val="20"/>
      <w:szCs w:val="20"/>
    </w:rPr>
  </w:style>
  <w:style w:type="paragraph" w:customStyle="1" w:styleId="31">
    <w:name w:val="EQ"/>
    <w:basedOn w:val="1"/>
    <w:next w:val="1"/>
    <w:uiPriority w:val="0"/>
    <w:pPr>
      <w:keepLines/>
      <w:tabs>
        <w:tab w:val="center" w:pos="4536"/>
        <w:tab w:val="right" w:pos="9072"/>
      </w:tabs>
    </w:pPr>
  </w:style>
  <w:style w:type="paragraph" w:customStyle="1" w:styleId="32">
    <w:name w:val="char char char"/>
    <w:basedOn w:val="30"/>
    <w:link w:val="69"/>
    <w:qFormat/>
    <w:uiPriority w:val="0"/>
    <w:pPr>
      <w:keepNext/>
      <w:keepLines/>
      <w:widowControl/>
      <w:spacing w:before="120"/>
      <w:ind w:firstLine="40"/>
      <w:outlineLvl w:val="2"/>
    </w:pPr>
    <w:rPr>
      <w:rFonts w:ascii="Arial" w:hAnsi="Arial"/>
      <w:sz w:val="24"/>
      <w:szCs w:val="28"/>
    </w:rPr>
  </w:style>
  <w:style w:type="paragraph" w:customStyle="1" w:styleId="33">
    <w:name w:val="TAN"/>
    <w:basedOn w:val="1"/>
    <w:link w:val="46"/>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34">
    <w:name w:val="_Style 0"/>
    <w:qFormat/>
    <w:uiPriority w:val="1"/>
    <w:pPr>
      <w:widowControl w:val="0"/>
      <w:jc w:val="both"/>
    </w:pPr>
    <w:rPr>
      <w:kern w:val="2"/>
      <w:sz w:val="21"/>
      <w:szCs w:val="24"/>
      <w:lang w:val="en-US" w:eastAsia="zh-CN" w:bidi="ar-SA"/>
    </w:rPr>
  </w:style>
  <w:style w:type="paragraph" w:customStyle="1" w:styleId="35">
    <w:name w:val="char char"/>
    <w:basedOn w:val="30"/>
    <w:link w:val="59"/>
    <w:qFormat/>
    <w:uiPriority w:val="0"/>
    <w:pPr>
      <w:spacing w:before="180" w:after="120"/>
      <w:outlineLvl w:val="1"/>
    </w:pPr>
    <w:rPr>
      <w:rFonts w:ascii="Arial" w:hAnsi="Arial"/>
      <w:sz w:val="28"/>
      <w:szCs w:val="32"/>
    </w:rPr>
  </w:style>
  <w:style w:type="paragraph" w:customStyle="1" w:styleId="36">
    <w:name w:val="Char"/>
    <w:basedOn w:val="37"/>
    <w:link w:val="55"/>
    <w:qFormat/>
    <w:uiPriority w:val="0"/>
    <w:pPr>
      <w:keepNext/>
      <w:keepLines/>
      <w:widowControl/>
      <w:numPr>
        <w:ilvl w:val="0"/>
        <w:numId w:val="1"/>
      </w:numPr>
      <w:pBdr>
        <w:top w:val="single" w:color="auto" w:sz="12" w:space="1"/>
      </w:pBdr>
      <w:tabs>
        <w:tab w:val="left" w:pos="1985"/>
      </w:tabs>
      <w:spacing w:before="240" w:after="180"/>
      <w:ind w:firstLineChars="0"/>
      <w:outlineLvl w:val="0"/>
    </w:pPr>
    <w:rPr>
      <w:rFonts w:ascii="Arial" w:hAnsi="Arial"/>
      <w:kern w:val="0"/>
      <w:sz w:val="32"/>
      <w:szCs w:val="36"/>
    </w:rPr>
  </w:style>
  <w:style w:type="paragraph" w:styleId="37">
    <w:name w:val="List Paragraph"/>
    <w:basedOn w:val="1"/>
    <w:qFormat/>
    <w:uiPriority w:val="34"/>
    <w:pPr>
      <w:ind w:firstLine="420" w:firstLineChars="200"/>
    </w:pPr>
  </w:style>
  <w:style w:type="paragraph" w:customStyle="1" w:styleId="38">
    <w:name w:val="Text"/>
    <w:basedOn w:val="1"/>
    <w:uiPriority w:val="0"/>
    <w:pPr>
      <w:widowControl w:val="0"/>
      <w:autoSpaceDE w:val="0"/>
      <w:autoSpaceDN w:val="0"/>
      <w:spacing w:line="252" w:lineRule="auto"/>
      <w:ind w:firstLine="202"/>
      <w:jc w:val="both"/>
    </w:pPr>
    <w:rPr>
      <w:szCs w:val="20"/>
    </w:rPr>
  </w:style>
  <w:style w:type="paragraph" w:customStyle="1" w:styleId="39">
    <w:name w:val="address"/>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b/>
      <w:lang w:val="en-GB" w:eastAsia="en-US" w:bidi="ar-SA"/>
    </w:rPr>
  </w:style>
  <w:style w:type="paragraph" w:customStyle="1" w:styleId="40">
    <w:name w:val="main text"/>
    <w:basedOn w:val="1"/>
    <w:qFormat/>
    <w:uiPriority w:val="0"/>
    <w:pPr>
      <w:widowControl/>
      <w:wordWrap/>
      <w:autoSpaceDE/>
      <w:autoSpaceDN/>
      <w:spacing w:before="60" w:after="60" w:line="288" w:lineRule="auto"/>
      <w:ind w:firstLine="200" w:firstLineChars="200"/>
      <w:jc w:val="both"/>
    </w:pPr>
    <w:rPr>
      <w:rFonts w:eastAsia="Malgun Gothic" w:cs="Batang"/>
      <w:lang w:val="en-GB"/>
    </w:rPr>
  </w:style>
  <w:style w:type="paragraph" w:customStyle="1" w:styleId="41">
    <w:name w:val="ZA"/>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cs="Arial"/>
      <w:sz w:val="40"/>
      <w:szCs w:val="40"/>
      <w:lang w:val="en-US" w:eastAsia="en-US" w:bidi="ar-SA"/>
    </w:rPr>
  </w:style>
  <w:style w:type="paragraph" w:styleId="42">
    <w:name w:val="No Spacing"/>
    <w:qFormat/>
    <w:uiPriority w:val="1"/>
    <w:pPr>
      <w:widowControl w:val="0"/>
      <w:jc w:val="both"/>
    </w:pPr>
    <w:rPr>
      <w:kern w:val="2"/>
      <w:sz w:val="21"/>
      <w:szCs w:val="24"/>
      <w:lang w:val="en-US" w:eastAsia="zh-CN" w:bidi="ar-SA"/>
    </w:rPr>
  </w:style>
  <w:style w:type="paragraph" w:customStyle="1" w:styleId="43">
    <w:name w:val="TAH"/>
    <w:basedOn w:val="27"/>
    <w:link w:val="70"/>
    <w:uiPriority w:val="0"/>
    <w:rPr>
      <w:b/>
    </w:rPr>
  </w:style>
  <w:style w:type="paragraph" w:customStyle="1" w:styleId="44">
    <w:name w:val="B1"/>
    <w:basedOn w:val="19"/>
    <w:link w:val="71"/>
    <w:uiPriority w:val="0"/>
    <w:pPr>
      <w:widowControl/>
      <w:spacing w:after="180"/>
      <w:ind w:left="568" w:hanging="284" w:firstLineChars="0"/>
      <w:jc w:val="left"/>
    </w:pPr>
    <w:rPr>
      <w:rFonts w:eastAsia="MS Mincho"/>
      <w:kern w:val="0"/>
      <w:sz w:val="20"/>
      <w:szCs w:val="20"/>
      <w:lang w:val="en-GB" w:eastAsia="de-DE"/>
    </w:rPr>
  </w:style>
  <w:style w:type="paragraph" w:customStyle="1" w:styleId="45">
    <w:name w:val="TH"/>
    <w:basedOn w:val="1"/>
    <w:link w:val="66"/>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character" w:customStyle="1" w:styleId="46">
    <w:name w:val="TAN Char"/>
    <w:link w:val="33"/>
    <w:uiPriority w:val="0"/>
    <w:rPr>
      <w:rFonts w:ascii="Arial" w:hAnsi="Arial" w:eastAsia="宋体"/>
      <w:sz w:val="18"/>
      <w:szCs w:val="18"/>
      <w:lang w:val="en-GB"/>
    </w:rPr>
  </w:style>
  <w:style w:type="character" w:customStyle="1" w:styleId="47">
    <w:name w:val="Heading 8 Char"/>
    <w:link w:val="9"/>
    <w:uiPriority w:val="0"/>
    <w:rPr>
      <w:rFonts w:ascii="Arial" w:hAnsi="Arial" w:eastAsia="宋体"/>
      <w:sz w:val="36"/>
      <w:lang w:val="en-GB" w:eastAsia="en-US"/>
    </w:rPr>
  </w:style>
  <w:style w:type="character" w:customStyle="1" w:styleId="48">
    <w:name w:val="Comment Subject Char"/>
    <w:link w:val="11"/>
    <w:semiHidden/>
    <w:uiPriority w:val="99"/>
    <w:rPr>
      <w:b/>
      <w:bCs/>
      <w:kern w:val="2"/>
      <w:lang w:eastAsia="zh-CN"/>
    </w:rPr>
  </w:style>
  <w:style w:type="character" w:customStyle="1" w:styleId="49">
    <w:name w:val="Footer Char"/>
    <w:link w:val="17"/>
    <w:uiPriority w:val="99"/>
    <w:rPr>
      <w:sz w:val="18"/>
      <w:szCs w:val="18"/>
    </w:rPr>
  </w:style>
  <w:style w:type="character" w:customStyle="1" w:styleId="50">
    <w:name w:val="op_dict_text2"/>
    <w:basedOn w:val="21"/>
    <w:uiPriority w:val="0"/>
  </w:style>
  <w:style w:type="character" w:customStyle="1" w:styleId="51">
    <w:name w:val="TAL Char"/>
    <w:link w:val="28"/>
    <w:uiPriority w:val="0"/>
    <w:rPr>
      <w:rFonts w:ascii="Arial" w:hAnsi="Arial"/>
      <w:sz w:val="18"/>
      <w:lang w:val="en-GB" w:eastAsia="en-US"/>
    </w:rPr>
  </w:style>
  <w:style w:type="character" w:customStyle="1" w:styleId="52">
    <w:name w:val="Body Text Char"/>
    <w:link w:val="15"/>
    <w:uiPriority w:val="0"/>
    <w:rPr>
      <w:rFonts w:ascii="Times New Roman" w:hAnsi="Times New Roman" w:eastAsia="Times New Roman" w:cs="Times New Roman"/>
      <w:kern w:val="0"/>
      <w:sz w:val="20"/>
      <w:szCs w:val="20"/>
      <w:lang w:val="en-GB" w:eastAsia="en-US"/>
    </w:rPr>
  </w:style>
  <w:style w:type="character" w:customStyle="1" w:styleId="53">
    <w:name w:val="TAC Char"/>
    <w:link w:val="27"/>
    <w:uiPriority w:val="0"/>
    <w:rPr>
      <w:rFonts w:ascii="Arial" w:hAnsi="Arial" w:eastAsia="Times New Roman" w:cs="Times New Roman"/>
      <w:kern w:val="0"/>
      <w:sz w:val="18"/>
      <w:szCs w:val="20"/>
      <w:lang w:val="en-GB" w:eastAsia="ja-JP"/>
    </w:rPr>
  </w:style>
  <w:style w:type="character" w:customStyle="1" w:styleId="54">
    <w:name w:val="Header Char"/>
    <w:link w:val="18"/>
    <w:uiPriority w:val="99"/>
    <w:rPr>
      <w:sz w:val="18"/>
      <w:szCs w:val="18"/>
    </w:rPr>
  </w:style>
  <w:style w:type="character" w:customStyle="1" w:styleId="55">
    <w:name w:val="Char Char"/>
    <w:link w:val="36"/>
    <w:uiPriority w:val="0"/>
    <w:rPr>
      <w:rFonts w:ascii="Arial" w:hAnsi="Arial"/>
      <w:sz w:val="32"/>
      <w:szCs w:val="36"/>
    </w:rPr>
  </w:style>
  <w:style w:type="character" w:customStyle="1" w:styleId="56">
    <w:name w:val="Heading 2 Char"/>
    <w:link w:val="3"/>
    <w:uiPriority w:val="0"/>
    <w:rPr>
      <w:rFonts w:ascii="Arial" w:hAnsi="Arial"/>
      <w:sz w:val="32"/>
      <w:lang w:eastAsia="en-US"/>
    </w:rPr>
  </w:style>
  <w:style w:type="character" w:customStyle="1" w:styleId="57">
    <w:name w:val="NO Char"/>
    <w:link w:val="29"/>
    <w:uiPriority w:val="0"/>
    <w:rPr>
      <w:rFonts w:ascii="Times New Roman" w:hAnsi="Times New Roman" w:eastAsia="Times New Roman"/>
      <w:lang w:val="en-GB"/>
    </w:rPr>
  </w:style>
  <w:style w:type="character" w:customStyle="1" w:styleId="58">
    <w:name w:val="Document Map Char"/>
    <w:link w:val="14"/>
    <w:semiHidden/>
    <w:uiPriority w:val="99"/>
    <w:rPr>
      <w:rFonts w:ascii="宋体" w:eastAsia="宋体"/>
      <w:sz w:val="18"/>
      <w:szCs w:val="18"/>
    </w:rPr>
  </w:style>
  <w:style w:type="character" w:customStyle="1" w:styleId="59">
    <w:name w:val="char char Char"/>
    <w:link w:val="35"/>
    <w:uiPriority w:val="0"/>
    <w:rPr>
      <w:rFonts w:ascii="Arial" w:hAnsi="Arial" w:eastAsia="宋体" w:cs="Times New Roman"/>
      <w:kern w:val="0"/>
      <w:sz w:val="28"/>
      <w:szCs w:val="32"/>
    </w:rPr>
  </w:style>
  <w:style w:type="character" w:customStyle="1" w:styleId="60">
    <w:name w:val="Heading 5 Char"/>
    <w:link w:val="6"/>
    <w:uiPriority w:val="0"/>
    <w:rPr>
      <w:rFonts w:ascii="Arial" w:hAnsi="Arial" w:eastAsia="宋体"/>
      <w:sz w:val="22"/>
      <w:lang w:val="en-GB" w:eastAsia="en-US"/>
    </w:rPr>
  </w:style>
  <w:style w:type="character" w:customStyle="1" w:styleId="61">
    <w:name w:val="Heading 4 Char"/>
    <w:link w:val="5"/>
    <w:uiPriority w:val="0"/>
    <w:rPr>
      <w:rFonts w:ascii="Arial" w:hAnsi="Arial" w:eastAsia="宋体"/>
      <w:sz w:val="24"/>
      <w:lang w:val="en-GB" w:eastAsia="en-US"/>
    </w:rPr>
  </w:style>
  <w:style w:type="character" w:customStyle="1" w:styleId="62">
    <w:name w:val="Heading 3 Char"/>
    <w:link w:val="4"/>
    <w:uiPriority w:val="0"/>
    <w:rPr>
      <w:rFonts w:ascii="Arial" w:hAnsi="Arial"/>
      <w:sz w:val="28"/>
      <w:lang w:eastAsia="en-US"/>
    </w:rPr>
  </w:style>
  <w:style w:type="character" w:customStyle="1" w:styleId="63">
    <w:name w:val="keyword"/>
    <w:basedOn w:val="21"/>
    <w:uiPriority w:val="0"/>
  </w:style>
  <w:style w:type="character" w:customStyle="1" w:styleId="64">
    <w:name w:val="Comment Text Char"/>
    <w:link w:val="12"/>
    <w:semiHidden/>
    <w:uiPriority w:val="99"/>
    <w:rPr>
      <w:kern w:val="2"/>
      <w:lang w:eastAsia="zh-CN"/>
    </w:rPr>
  </w:style>
  <w:style w:type="character" w:customStyle="1" w:styleId="65">
    <w:name w:val="Balloon Text Char"/>
    <w:link w:val="16"/>
    <w:semiHidden/>
    <w:uiPriority w:val="99"/>
    <w:rPr>
      <w:kern w:val="2"/>
      <w:sz w:val="18"/>
      <w:szCs w:val="18"/>
    </w:rPr>
  </w:style>
  <w:style w:type="character" w:customStyle="1" w:styleId="66">
    <w:name w:val="TH Char"/>
    <w:link w:val="45"/>
    <w:uiPriority w:val="0"/>
    <w:rPr>
      <w:rFonts w:ascii="Arial" w:hAnsi="Arial" w:eastAsia="宋体"/>
      <w:b/>
      <w:bCs/>
      <w:lang w:val="en-GB"/>
    </w:rPr>
  </w:style>
  <w:style w:type="character" w:customStyle="1" w:styleId="67">
    <w:name w:val="Caption Char"/>
    <w:link w:val="13"/>
    <w:uiPriority w:val="0"/>
    <w:rPr>
      <w:rFonts w:ascii="Arial" w:hAnsi="Arial" w:eastAsia="黑体"/>
    </w:rPr>
  </w:style>
  <w:style w:type="character" w:customStyle="1" w:styleId="68">
    <w:name w:val="正文1 Char"/>
    <w:link w:val="30"/>
    <w:uiPriority w:val="0"/>
    <w:rPr>
      <w:rFonts w:ascii="Times New Roman" w:hAnsi="Times New Roman" w:eastAsia="宋体" w:cs="Times New Roman"/>
      <w:kern w:val="0"/>
      <w:sz w:val="20"/>
      <w:szCs w:val="20"/>
    </w:rPr>
  </w:style>
  <w:style w:type="character" w:customStyle="1" w:styleId="69">
    <w:name w:val="char char char Char"/>
    <w:link w:val="32"/>
    <w:uiPriority w:val="0"/>
    <w:rPr>
      <w:rFonts w:ascii="Arial" w:hAnsi="Arial" w:eastAsia="宋体" w:cs="Times New Roman"/>
      <w:kern w:val="0"/>
      <w:sz w:val="24"/>
      <w:szCs w:val="28"/>
    </w:rPr>
  </w:style>
  <w:style w:type="character" w:customStyle="1" w:styleId="70">
    <w:name w:val="TAH Car"/>
    <w:link w:val="43"/>
    <w:uiPriority w:val="0"/>
    <w:rPr>
      <w:rFonts w:ascii="Arial" w:hAnsi="Arial" w:eastAsia="Times New Roman" w:cs="Times New Roman"/>
      <w:b/>
      <w:kern w:val="0"/>
      <w:sz w:val="18"/>
      <w:szCs w:val="20"/>
      <w:lang w:val="en-GB" w:eastAsia="ja-JP"/>
    </w:rPr>
  </w:style>
  <w:style w:type="character" w:customStyle="1" w:styleId="71">
    <w:name w:val="B1 Char"/>
    <w:link w:val="44"/>
    <w:uiPriority w:val="0"/>
    <w:rPr>
      <w:rFonts w:ascii="Times New Roman" w:hAnsi="Times New Roman" w:eastAsia="MS Mincho"/>
      <w:lang w:val="en-GB" w:eastAsia="de-DE"/>
    </w:rPr>
  </w:style>
  <w:style w:type="character" w:customStyle="1" w:styleId="72">
    <w:name w:val="Heading 9 Char"/>
    <w:link w:val="10"/>
    <w:uiPriority w:val="0"/>
    <w:rPr>
      <w:rFonts w:ascii="Arial" w:hAnsi="Arial" w:eastAsia="宋体"/>
      <w:sz w:val="36"/>
      <w:lang w:val="en-GB" w:eastAsia="en-US"/>
    </w:rPr>
  </w:style>
  <w:style w:type="character" w:customStyle="1" w:styleId="73">
    <w:name w:val="Heading 7 Char"/>
    <w:link w:val="8"/>
    <w:uiPriority w:val="0"/>
    <w:rPr>
      <w:rFonts w:ascii="Arial" w:hAnsi="Arial" w:eastAsia="宋体"/>
      <w:lang w:val="en-GB" w:eastAsia="en-US"/>
    </w:rPr>
  </w:style>
  <w:style w:type="character" w:customStyle="1" w:styleId="74">
    <w:name w:val="Heading 6 Char"/>
    <w:link w:val="7"/>
    <w:uiPriority w:val="0"/>
    <w:rPr>
      <w:rFonts w:ascii="Arial" w:hAnsi="Arial" w:eastAsia="宋体"/>
      <w:lang w:val="en-GB" w:eastAsia="en-US"/>
    </w:rPr>
  </w:style>
  <w:style w:type="character" w:customStyle="1" w:styleId="75">
    <w:name w:val="Heading 1 Char"/>
    <w:link w:val="2"/>
    <w:uiPriority w:val="9"/>
    <w:rPr>
      <w:rFonts w:ascii="Cambria" w:hAnsi="Cambria" w:eastAsia="宋体" w:cs="Times New Roman"/>
      <w:b/>
      <w:bCs/>
      <w:kern w:val="32"/>
      <w:sz w:val="32"/>
      <w:szCs w:val="32"/>
      <w:lang w:val="en-US"/>
    </w:rPr>
  </w:style>
  <w:style w:type="table" w:customStyle="1" w:styleId="76">
    <w:name w:val="ECC Table - red header"/>
    <w:basedOn w:val="77"/>
    <w:qFormat/>
    <w:uiPriority w:val="99"/>
    <w:tblPr>
      <w:tblStyle w:val="25"/>
      <w:tblBorders>
        <w:top w:val="single" w:color="D22A23" w:sz="4" w:space="0"/>
        <w:left w:val="single" w:color="D22A23" w:sz="4" w:space="0"/>
        <w:bottom w:val="single" w:color="D22A23" w:sz="4" w:space="0"/>
        <w:right w:val="single" w:color="D22A23" w:sz="4" w:space="0"/>
        <w:insideH w:val="single" w:color="D22A23" w:sz="4" w:space="0"/>
        <w:insideV w:val="single" w:color="D22A23" w:sz="4" w:space="0"/>
      </w:tblBorders>
      <w:tblLayout w:type="fixed"/>
    </w:tblPr>
    <w:tblStylePr w:type="firstRow">
      <w:pPr>
        <w:wordWrap/>
        <w:spacing w:before="120" w:beforeLines="0" w:beforeAutospacing="0" w:after="120" w:afterLines="0" w:afterAutospacing="0" w:line="240" w:lineRule="auto"/>
        <w:jc w:val="center"/>
      </w:pPr>
      <w:rPr>
        <w:b/>
        <w:i w:val="0"/>
        <w:color w:val="FFFFFF"/>
      </w:rPr>
      <w:tblPr>
        <w:tblStyle w:val="25"/>
        <w:tblLayout w:type="fixed"/>
      </w:tblPr>
      <w:trPr>
        <w:tblHeader/>
      </w:trPr>
      <w:tcPr>
        <w:tcBorders>
          <w:top w:val="single" w:color="D22A23" w:sz="4" w:space="0"/>
          <w:left w:val="single" w:color="D22A23" w:sz="4" w:space="0"/>
          <w:bottom w:val="single" w:color="D22A23" w:sz="4" w:space="0"/>
          <w:right w:val="single" w:color="D22A23" w:sz="4" w:space="0"/>
          <w:insideH w:val="nil"/>
          <w:insideV w:val="single" w:sz="4" w:space="0"/>
          <w:tl2br w:val="nil"/>
          <w:tr2bl w:val="nil"/>
        </w:tcBorders>
        <w:shd w:val="clear" w:color="auto" w:fill="D22A23"/>
      </w:tcPr>
    </w:tblStylePr>
  </w:style>
  <w:style w:type="table" w:customStyle="1" w:styleId="77">
    <w:name w:val="ECC Table - clean"/>
    <w:qFormat/>
    <w:uiPriority w:val="99"/>
    <w:pPr>
      <w:spacing w:before="60" w:after="60"/>
      <w:jc w:val="both"/>
    </w:pPr>
    <w:rPr>
      <w:rFonts w:ascii="Arial" w:hAnsi="Arial" w:eastAsia="Calibri"/>
      <w:lang w:val="de-DE" w:eastAsia="de-DE"/>
    </w:rPr>
    <w:tblPr>
      <w:tblStyle w:val="25"/>
      <w:jc w:val="center"/>
      <w:tblLayout w:type="fixed"/>
      <w:tblCellMar>
        <w:top w:w="57" w:type="dxa"/>
        <w:left w:w="108" w:type="dxa"/>
        <w:bottom w:w="0" w:type="dxa"/>
        <w:right w:w="108" w:type="dxa"/>
      </w:tblCellMar>
    </w:tblPr>
    <w:trPr>
      <w:jc w:val="center"/>
    </w:trPr>
    <w:tcPr>
      <w:vAlign w:val="center"/>
    </w:tcPr>
    <w:tblStylePr w:type="firstRow">
      <w:pPr>
        <w:wordWrap/>
        <w:spacing w:before="120" w:beforeLines="0" w:beforeAutospacing="0" w:after="120" w:afterLines="0" w:afterAutospacing="0" w:line="240" w:lineRule="auto"/>
        <w:jc w:val="left"/>
      </w:pPr>
      <w:rPr>
        <w:b/>
        <w:i w:val="0"/>
      </w:rPr>
      <w:tblPr>
        <w:tblStyle w:val="25"/>
        <w:tblLayout w:type="fixed"/>
      </w:tblPr>
      <w:trPr>
        <w:tblHeader/>
      </w:trPr>
    </w:tblStyle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emf"/><Relationship Id="rId5" Type="http://schemas.openxmlformats.org/officeDocument/2006/relationships/image" Target="media/image1.emf"/><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3</Pages>
  <Words>411</Words>
  <Characters>2349</Characters>
  <Lines>19</Lines>
  <Paragraphs>5</Paragraphs>
  <TotalTime>0</TotalTime>
  <ScaleCrop>false</ScaleCrop>
  <LinksUpToDate>false</LinksUpToDate>
  <CharactersWithSpaces>2755</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10164284</cp:lastModifiedBy>
  <dcterms:modified xsi:type="dcterms:W3CDTF">2020-08-07T13:44:20Z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